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E3732" w14:textId="77777777" w:rsidR="00FD249D" w:rsidRPr="00FD249D" w:rsidRDefault="00FD249D" w:rsidP="00FD249D">
      <w:pPr>
        <w:rPr>
          <w:lang w:val="de-DE"/>
        </w:rPr>
      </w:pPr>
      <w:r w:rsidRPr="00FD249D">
        <w:rPr>
          <w:b/>
          <w:bCs/>
          <w:lang w:val="de-DE"/>
        </w:rPr>
        <w:t>CASE STUDY | INDUSTRIETECHNOLOGIE</w:t>
      </w:r>
    </w:p>
    <w:p w14:paraId="79786283" w14:textId="77777777" w:rsidR="00FD249D" w:rsidRPr="00FD249D" w:rsidRDefault="00FD249D" w:rsidP="00FD249D">
      <w:pPr>
        <w:rPr>
          <w:lang w:val="de-DE"/>
        </w:rPr>
      </w:pPr>
      <w:r w:rsidRPr="00FD249D">
        <w:rPr>
          <w:b/>
          <w:bCs/>
          <w:lang w:val="de-DE"/>
        </w:rPr>
        <w:t>Entwicklung eines multimodalen Logistikprogramms für Lithiumbatterien über vier Länder hinweg</w:t>
      </w:r>
    </w:p>
    <w:p w14:paraId="1A682444" w14:textId="77777777" w:rsidR="00FD249D" w:rsidRPr="00FD249D" w:rsidRDefault="00FD249D" w:rsidP="00FD249D">
      <w:pPr>
        <w:rPr>
          <w:lang w:val="de-DE"/>
        </w:rPr>
      </w:pPr>
      <w:r w:rsidRPr="00FD249D">
        <w:rPr>
          <w:i/>
          <w:iCs/>
          <w:lang w:val="de-DE"/>
        </w:rPr>
        <w:t>Röhlig kombinierte technische Machbarkeitsplanung mit koordinierter Umsetzung per Straße, Luft und See für einen Hersteller von Lithium-Ionen-Batterien.</w:t>
      </w:r>
    </w:p>
    <w:p w14:paraId="2844151A" w14:textId="77777777" w:rsidR="00FD249D" w:rsidRPr="00FD249D" w:rsidRDefault="00FD249D" w:rsidP="00FD249D">
      <w:pPr>
        <w:rPr>
          <w:lang w:val="de-DE"/>
        </w:rPr>
      </w:pPr>
      <w:r w:rsidRPr="00FD249D">
        <w:rPr>
          <w:lang w:val="de-DE"/>
        </w:rPr>
        <w:t>Übergroße, verpackte Energiesystemausrüstung gesichert auf einem Spezial-</w:t>
      </w:r>
      <w:proofErr w:type="spellStart"/>
      <w:r w:rsidRPr="00FD249D">
        <w:rPr>
          <w:lang w:val="de-DE"/>
        </w:rPr>
        <w:t>Straßenauflieger</w:t>
      </w:r>
      <w:proofErr w:type="spellEnd"/>
      <w:r w:rsidRPr="00FD249D">
        <w:rPr>
          <w:lang w:val="de-DE"/>
        </w:rPr>
        <w:t>.</w:t>
      </w:r>
    </w:p>
    <w:p w14:paraId="56EA5C76" w14:textId="77777777" w:rsidR="00FD249D" w:rsidRPr="00FD249D" w:rsidRDefault="00FD249D" w:rsidP="00FD249D">
      <w:pPr>
        <w:rPr>
          <w:lang w:val="de-DE"/>
        </w:rPr>
      </w:pPr>
      <w:r w:rsidRPr="00FD249D">
        <w:rPr>
          <w:i/>
          <w:iCs/>
          <w:lang w:val="de-DE"/>
        </w:rPr>
        <w:t>Spezieller Zugang, Beladung und Ladungssicherung</w:t>
      </w:r>
    </w:p>
    <w:p w14:paraId="3C19223C" w14:textId="77777777" w:rsidR="00FD249D" w:rsidRDefault="00FD249D" w:rsidP="00FD249D">
      <w:pPr>
        <w:rPr>
          <w:b/>
          <w:bCs/>
          <w:lang w:val="de-DE"/>
        </w:rPr>
      </w:pPr>
    </w:p>
    <w:p w14:paraId="77EA08C9" w14:textId="40CE0EC3" w:rsidR="00FD249D" w:rsidRPr="00FD249D" w:rsidRDefault="00FD249D" w:rsidP="00FD249D">
      <w:pPr>
        <w:rPr>
          <w:lang w:val="it-IT"/>
        </w:rPr>
      </w:pPr>
      <w:r w:rsidRPr="00FD249D">
        <w:rPr>
          <w:b/>
          <w:bCs/>
          <w:lang w:val="it-IT"/>
        </w:rPr>
        <w:t>Meta Title:</w:t>
      </w:r>
      <w:r w:rsidRPr="00FD249D">
        <w:rPr>
          <w:lang w:val="it-IT"/>
        </w:rPr>
        <w:t xml:space="preserve"> Multimodale </w:t>
      </w:r>
      <w:proofErr w:type="spellStart"/>
      <w:r w:rsidRPr="00FD249D">
        <w:rPr>
          <w:lang w:val="it-IT"/>
        </w:rPr>
        <w:t>Lithiumbatterie-Logistik</w:t>
      </w:r>
      <w:proofErr w:type="spellEnd"/>
      <w:r w:rsidRPr="00FD249D">
        <w:rPr>
          <w:lang w:val="it-IT"/>
        </w:rPr>
        <w:t xml:space="preserve"> | Röhlig </w:t>
      </w:r>
      <w:proofErr w:type="spellStart"/>
      <w:r w:rsidRPr="00FD249D">
        <w:rPr>
          <w:lang w:val="it-IT"/>
        </w:rPr>
        <w:t>Logistics</w:t>
      </w:r>
      <w:proofErr w:type="spellEnd"/>
    </w:p>
    <w:p w14:paraId="685FF2C4" w14:textId="77777777" w:rsidR="00FD249D" w:rsidRPr="00FD249D" w:rsidRDefault="00FD249D" w:rsidP="00FD249D">
      <w:pPr>
        <w:rPr>
          <w:lang w:val="de-DE"/>
        </w:rPr>
      </w:pPr>
      <w:proofErr w:type="spellStart"/>
      <w:r w:rsidRPr="00FD249D">
        <w:rPr>
          <w:b/>
          <w:bCs/>
          <w:lang w:val="de-DE"/>
        </w:rPr>
        <w:t>Meta</w:t>
      </w:r>
      <w:proofErr w:type="spellEnd"/>
      <w:r w:rsidRPr="00FD249D">
        <w:rPr>
          <w:b/>
          <w:bCs/>
          <w:lang w:val="de-DE"/>
        </w:rPr>
        <w:t xml:space="preserve"> Description:</w:t>
      </w:r>
      <w:r w:rsidRPr="00FD249D">
        <w:rPr>
          <w:lang w:val="de-DE"/>
        </w:rPr>
        <w:t xml:space="preserve"> Erfahren Sie, wie Röhlig das Handling für übergroße Lithiumbatterie-Ausrüstung neu plante und Straßen-, Luft- und Seefrachtlogistik über vier Länder hinweg koordinierte.</w:t>
      </w:r>
    </w:p>
    <w:p w14:paraId="43F12AD6" w14:textId="77777777" w:rsidR="00FD249D" w:rsidRPr="00FD249D" w:rsidRDefault="00FD249D" w:rsidP="00FD249D">
      <w:pPr>
        <w:rPr>
          <w:lang w:val="de-DE"/>
        </w:rPr>
      </w:pPr>
      <w:r w:rsidRPr="00FD249D">
        <w:rPr>
          <w:b/>
          <w:bCs/>
          <w:lang w:val="de-DE"/>
        </w:rPr>
        <w:t>Eine komplexe Straßenbeförderung wurde zur Grundlage für ein umfassenderes internationales Logistikprogramm.</w:t>
      </w:r>
      <w:r w:rsidRPr="00FD249D">
        <w:rPr>
          <w:lang w:val="de-DE"/>
        </w:rPr>
        <w:t xml:space="preserve"> Nach Prüfung des </w:t>
      </w:r>
      <w:proofErr w:type="spellStart"/>
      <w:r w:rsidRPr="00FD249D">
        <w:rPr>
          <w:lang w:val="de-DE"/>
        </w:rPr>
        <w:t>Handlingkonzepts</w:t>
      </w:r>
      <w:proofErr w:type="spellEnd"/>
      <w:r w:rsidRPr="00FD249D">
        <w:rPr>
          <w:lang w:val="de-DE"/>
        </w:rPr>
        <w:t xml:space="preserve"> für übergroße Lithiumbatterie-Ausrüstung empfahl Röhlig eine Flat-Rack- und Kranlösung anstelle der vorgeschlagenen </w:t>
      </w:r>
      <w:proofErr w:type="spellStart"/>
      <w:r w:rsidRPr="00FD249D">
        <w:rPr>
          <w:lang w:val="de-DE"/>
        </w:rPr>
        <w:t>Reefer</w:t>
      </w:r>
      <w:proofErr w:type="spellEnd"/>
      <w:r w:rsidRPr="00FD249D">
        <w:rPr>
          <w:lang w:val="de-DE"/>
        </w:rPr>
        <w:t>- und Slip-Sheet-Methode. Anschließend brachte das Team spezialisierte Dienstleister und Röhlig Kolleginnen und Kollegen im Vereinigten Königreich, in Deutschland, Australien und Kanada in einem gemeinsamen operativen Plan zusammen.</w:t>
      </w:r>
    </w:p>
    <w:p w14:paraId="4CC860E5" w14:textId="77777777" w:rsidR="00FD249D" w:rsidRDefault="00FD249D" w:rsidP="00FD249D">
      <w:pPr>
        <w:rPr>
          <w:b/>
          <w:bCs/>
        </w:rPr>
      </w:pPr>
    </w:p>
    <w:p w14:paraId="16052139" w14:textId="2B433802" w:rsidR="00FD249D" w:rsidRPr="00FD249D" w:rsidRDefault="00FD249D" w:rsidP="00FD249D">
      <w:r w:rsidRPr="00FD249D">
        <w:rPr>
          <w:b/>
          <w:bCs/>
        </w:rPr>
        <w:t>Projekt-Highlights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2"/>
        <w:gridCol w:w="6984"/>
      </w:tblGrid>
      <w:tr w:rsidR="00FD249D" w:rsidRPr="00FD249D" w14:paraId="3D82D60E" w14:textId="77777777" w:rsidTr="00FD249D">
        <w:trPr>
          <w:tblHeader/>
          <w:tblCellSpacing w:w="15" w:type="dxa"/>
        </w:trPr>
        <w:tc>
          <w:tcPr>
            <w:tcW w:w="0" w:type="auto"/>
            <w:vAlign w:val="center"/>
            <w:hideMark/>
          </w:tcPr>
          <w:p w14:paraId="5DD83423" w14:textId="77777777" w:rsidR="00FD249D" w:rsidRPr="00FD249D" w:rsidRDefault="00FD249D" w:rsidP="00FD249D">
            <w:pPr>
              <w:rPr>
                <w:b/>
                <w:bCs/>
              </w:rPr>
            </w:pPr>
            <w:proofErr w:type="spellStart"/>
            <w:r w:rsidRPr="00FD249D">
              <w:rPr>
                <w:b/>
                <w:bCs/>
              </w:rPr>
              <w:t>Kategorie</w:t>
            </w:r>
            <w:proofErr w:type="spellEnd"/>
          </w:p>
        </w:tc>
        <w:tc>
          <w:tcPr>
            <w:tcW w:w="0" w:type="auto"/>
            <w:vAlign w:val="center"/>
            <w:hideMark/>
          </w:tcPr>
          <w:p w14:paraId="4A5517E7" w14:textId="77777777" w:rsidR="00FD249D" w:rsidRPr="00FD249D" w:rsidRDefault="00FD249D" w:rsidP="00FD249D">
            <w:pPr>
              <w:rPr>
                <w:b/>
                <w:bCs/>
              </w:rPr>
            </w:pPr>
            <w:r w:rsidRPr="00FD249D">
              <w:rPr>
                <w:b/>
                <w:bCs/>
              </w:rPr>
              <w:t>Details</w:t>
            </w:r>
          </w:p>
        </w:tc>
      </w:tr>
      <w:tr w:rsidR="00FD249D" w:rsidRPr="00FD249D" w14:paraId="1D66B250" w14:textId="77777777" w:rsidTr="00FD249D">
        <w:trPr>
          <w:tblCellSpacing w:w="15" w:type="dxa"/>
        </w:trPr>
        <w:tc>
          <w:tcPr>
            <w:tcW w:w="0" w:type="auto"/>
            <w:vAlign w:val="center"/>
            <w:hideMark/>
          </w:tcPr>
          <w:p w14:paraId="5F5AA875" w14:textId="77777777" w:rsidR="00FD249D" w:rsidRPr="00FD249D" w:rsidRDefault="00FD249D" w:rsidP="00FD249D">
            <w:r w:rsidRPr="00FD249D">
              <w:t>Branche des Kunden</w:t>
            </w:r>
          </w:p>
        </w:tc>
        <w:tc>
          <w:tcPr>
            <w:tcW w:w="0" w:type="auto"/>
            <w:vAlign w:val="center"/>
            <w:hideMark/>
          </w:tcPr>
          <w:p w14:paraId="33FD7462" w14:textId="77777777" w:rsidR="00FD249D" w:rsidRPr="00FD249D" w:rsidRDefault="00FD249D" w:rsidP="00FD249D">
            <w:proofErr w:type="spellStart"/>
            <w:r w:rsidRPr="00FD249D">
              <w:t>Industrietechnologie</w:t>
            </w:r>
            <w:proofErr w:type="spellEnd"/>
            <w:r w:rsidRPr="00FD249D">
              <w:t xml:space="preserve"> / Lithium-</w:t>
            </w:r>
            <w:proofErr w:type="spellStart"/>
            <w:r w:rsidRPr="00FD249D">
              <w:t>Ionen</w:t>
            </w:r>
            <w:proofErr w:type="spellEnd"/>
            <w:r w:rsidRPr="00FD249D">
              <w:t>-</w:t>
            </w:r>
            <w:proofErr w:type="spellStart"/>
            <w:r w:rsidRPr="00FD249D">
              <w:t>Batterien</w:t>
            </w:r>
            <w:proofErr w:type="spellEnd"/>
          </w:p>
        </w:tc>
      </w:tr>
      <w:tr w:rsidR="00FD249D" w:rsidRPr="00FD249D" w14:paraId="373243FD" w14:textId="77777777" w:rsidTr="00FD249D">
        <w:trPr>
          <w:tblCellSpacing w:w="15" w:type="dxa"/>
        </w:trPr>
        <w:tc>
          <w:tcPr>
            <w:tcW w:w="0" w:type="auto"/>
            <w:vAlign w:val="center"/>
            <w:hideMark/>
          </w:tcPr>
          <w:p w14:paraId="07D37152" w14:textId="77777777" w:rsidR="00FD249D" w:rsidRPr="00FD249D" w:rsidRDefault="00FD249D" w:rsidP="00FD249D">
            <w:r w:rsidRPr="00FD249D">
              <w:t>Ursprung</w:t>
            </w:r>
          </w:p>
        </w:tc>
        <w:tc>
          <w:tcPr>
            <w:tcW w:w="0" w:type="auto"/>
            <w:vAlign w:val="center"/>
            <w:hideMark/>
          </w:tcPr>
          <w:p w14:paraId="55AF0A7D" w14:textId="77777777" w:rsidR="00FD249D" w:rsidRPr="00FD249D" w:rsidRDefault="00FD249D" w:rsidP="00FD249D">
            <w:proofErr w:type="spellStart"/>
            <w:r w:rsidRPr="00FD249D">
              <w:t>Vereinigtes</w:t>
            </w:r>
            <w:proofErr w:type="spellEnd"/>
            <w:r w:rsidRPr="00FD249D">
              <w:t xml:space="preserve"> </w:t>
            </w:r>
            <w:proofErr w:type="spellStart"/>
            <w:r w:rsidRPr="00FD249D">
              <w:t>Königreich</w:t>
            </w:r>
            <w:proofErr w:type="spellEnd"/>
            <w:r w:rsidRPr="00FD249D">
              <w:t xml:space="preserve">; </w:t>
            </w:r>
            <w:proofErr w:type="spellStart"/>
            <w:r w:rsidRPr="00FD249D">
              <w:t>Australien</w:t>
            </w:r>
            <w:proofErr w:type="spellEnd"/>
          </w:p>
        </w:tc>
      </w:tr>
      <w:tr w:rsidR="00FD249D" w:rsidRPr="00FD249D" w14:paraId="5FBF9252" w14:textId="77777777" w:rsidTr="00FD249D">
        <w:trPr>
          <w:tblCellSpacing w:w="15" w:type="dxa"/>
        </w:trPr>
        <w:tc>
          <w:tcPr>
            <w:tcW w:w="0" w:type="auto"/>
            <w:vAlign w:val="center"/>
            <w:hideMark/>
          </w:tcPr>
          <w:p w14:paraId="1E670DF0" w14:textId="77777777" w:rsidR="00FD249D" w:rsidRPr="00FD249D" w:rsidRDefault="00FD249D" w:rsidP="00FD249D">
            <w:r w:rsidRPr="00FD249D">
              <w:t>Ziel</w:t>
            </w:r>
          </w:p>
        </w:tc>
        <w:tc>
          <w:tcPr>
            <w:tcW w:w="0" w:type="auto"/>
            <w:vAlign w:val="center"/>
            <w:hideMark/>
          </w:tcPr>
          <w:p w14:paraId="728E7F89" w14:textId="77777777" w:rsidR="00FD249D" w:rsidRPr="00FD249D" w:rsidRDefault="00FD249D" w:rsidP="00FD249D">
            <w:r w:rsidRPr="00FD249D">
              <w:t xml:space="preserve">Deutschland; </w:t>
            </w:r>
            <w:proofErr w:type="spellStart"/>
            <w:r w:rsidRPr="00FD249D">
              <w:t>Vereinigtes</w:t>
            </w:r>
            <w:proofErr w:type="spellEnd"/>
            <w:r w:rsidRPr="00FD249D">
              <w:t xml:space="preserve"> </w:t>
            </w:r>
            <w:proofErr w:type="spellStart"/>
            <w:r w:rsidRPr="00FD249D">
              <w:t>Königreich</w:t>
            </w:r>
            <w:proofErr w:type="spellEnd"/>
            <w:r w:rsidRPr="00FD249D">
              <w:t>; Kanada</w:t>
            </w:r>
          </w:p>
        </w:tc>
      </w:tr>
      <w:tr w:rsidR="00FD249D" w:rsidRPr="00FD249D" w14:paraId="2932DB89" w14:textId="77777777" w:rsidTr="00FD249D">
        <w:trPr>
          <w:tblCellSpacing w:w="15" w:type="dxa"/>
        </w:trPr>
        <w:tc>
          <w:tcPr>
            <w:tcW w:w="0" w:type="auto"/>
            <w:vAlign w:val="center"/>
            <w:hideMark/>
          </w:tcPr>
          <w:p w14:paraId="535D2ED3" w14:textId="77777777" w:rsidR="00FD249D" w:rsidRPr="00FD249D" w:rsidRDefault="00FD249D" w:rsidP="00FD249D">
            <w:proofErr w:type="spellStart"/>
            <w:r w:rsidRPr="00FD249D">
              <w:t>Transportarten</w:t>
            </w:r>
            <w:proofErr w:type="spellEnd"/>
          </w:p>
        </w:tc>
        <w:tc>
          <w:tcPr>
            <w:tcW w:w="0" w:type="auto"/>
            <w:vAlign w:val="center"/>
            <w:hideMark/>
          </w:tcPr>
          <w:p w14:paraId="38DA4917" w14:textId="77777777" w:rsidR="00FD249D" w:rsidRPr="00FD249D" w:rsidRDefault="00FD249D" w:rsidP="00FD249D">
            <w:proofErr w:type="spellStart"/>
            <w:r w:rsidRPr="00FD249D">
              <w:t>Straßentransport</w:t>
            </w:r>
            <w:proofErr w:type="spellEnd"/>
            <w:r w:rsidRPr="00FD249D">
              <w:t xml:space="preserve">, </w:t>
            </w:r>
            <w:proofErr w:type="spellStart"/>
            <w:r w:rsidRPr="00FD249D">
              <w:t>Luftfracht</w:t>
            </w:r>
            <w:proofErr w:type="spellEnd"/>
            <w:r w:rsidRPr="00FD249D">
              <w:t xml:space="preserve"> und </w:t>
            </w:r>
            <w:proofErr w:type="spellStart"/>
            <w:r w:rsidRPr="00FD249D">
              <w:t>Seefracht</w:t>
            </w:r>
            <w:proofErr w:type="spellEnd"/>
          </w:p>
        </w:tc>
      </w:tr>
      <w:tr w:rsidR="00FD249D" w:rsidRPr="00FD249D" w14:paraId="62F39D8F" w14:textId="77777777" w:rsidTr="00FD249D">
        <w:trPr>
          <w:tblCellSpacing w:w="15" w:type="dxa"/>
        </w:trPr>
        <w:tc>
          <w:tcPr>
            <w:tcW w:w="0" w:type="auto"/>
            <w:vAlign w:val="center"/>
            <w:hideMark/>
          </w:tcPr>
          <w:p w14:paraId="1F1CEAFE" w14:textId="77777777" w:rsidR="00FD249D" w:rsidRPr="00FD249D" w:rsidRDefault="00FD249D" w:rsidP="00FD249D">
            <w:proofErr w:type="spellStart"/>
            <w:r w:rsidRPr="00FD249D">
              <w:t>Beteiligte</w:t>
            </w:r>
            <w:proofErr w:type="spellEnd"/>
            <w:r w:rsidRPr="00FD249D">
              <w:t xml:space="preserve"> Teams</w:t>
            </w:r>
          </w:p>
        </w:tc>
        <w:tc>
          <w:tcPr>
            <w:tcW w:w="0" w:type="auto"/>
            <w:vAlign w:val="center"/>
            <w:hideMark/>
          </w:tcPr>
          <w:p w14:paraId="336FCC0B" w14:textId="77777777" w:rsidR="00FD249D" w:rsidRPr="00FD249D" w:rsidRDefault="00FD249D" w:rsidP="00FD249D">
            <w:pPr>
              <w:rPr>
                <w:lang w:val="de-DE"/>
              </w:rPr>
            </w:pPr>
            <w:r w:rsidRPr="00FD249D">
              <w:rPr>
                <w:lang w:val="de-DE"/>
              </w:rPr>
              <w:t>Vereinigtes Königreich, Deutschland, Australien und Kanada</w:t>
            </w:r>
          </w:p>
        </w:tc>
      </w:tr>
      <w:tr w:rsidR="00FD249D" w:rsidRPr="00FD249D" w14:paraId="5BEBAB71" w14:textId="77777777" w:rsidTr="00FD249D">
        <w:trPr>
          <w:tblCellSpacing w:w="15" w:type="dxa"/>
        </w:trPr>
        <w:tc>
          <w:tcPr>
            <w:tcW w:w="0" w:type="auto"/>
            <w:vAlign w:val="center"/>
            <w:hideMark/>
          </w:tcPr>
          <w:p w14:paraId="36F04F71" w14:textId="77777777" w:rsidR="00FD249D" w:rsidRPr="00FD249D" w:rsidRDefault="00FD249D" w:rsidP="00FD249D">
            <w:proofErr w:type="spellStart"/>
            <w:r w:rsidRPr="00FD249D">
              <w:t>Zusätzliche</w:t>
            </w:r>
            <w:proofErr w:type="spellEnd"/>
            <w:r w:rsidRPr="00FD249D">
              <w:t xml:space="preserve"> </w:t>
            </w:r>
            <w:proofErr w:type="spellStart"/>
            <w:r w:rsidRPr="00FD249D">
              <w:t>Leistungen</w:t>
            </w:r>
            <w:proofErr w:type="spellEnd"/>
          </w:p>
        </w:tc>
        <w:tc>
          <w:tcPr>
            <w:tcW w:w="0" w:type="auto"/>
            <w:vAlign w:val="center"/>
            <w:hideMark/>
          </w:tcPr>
          <w:p w14:paraId="3C246962" w14:textId="77777777" w:rsidR="00FD249D" w:rsidRPr="00FD249D" w:rsidRDefault="00FD249D" w:rsidP="00FD249D">
            <w:pPr>
              <w:rPr>
                <w:lang w:val="de-DE"/>
              </w:rPr>
            </w:pPr>
            <w:r w:rsidRPr="00FD249D">
              <w:rPr>
                <w:lang w:val="de-DE"/>
              </w:rPr>
              <w:t>Machbarkeitsprüfung, Onboarding, Koordination der Verpackung, Kranhandling, Verzurrung, Vor-Ort-Überwachung und Sendungsverfolgung</w:t>
            </w:r>
          </w:p>
        </w:tc>
      </w:tr>
      <w:tr w:rsidR="00FD249D" w:rsidRPr="00FD249D" w14:paraId="514663C5" w14:textId="77777777" w:rsidTr="00FD249D">
        <w:trPr>
          <w:tblCellSpacing w:w="15" w:type="dxa"/>
        </w:trPr>
        <w:tc>
          <w:tcPr>
            <w:tcW w:w="0" w:type="auto"/>
            <w:vAlign w:val="center"/>
            <w:hideMark/>
          </w:tcPr>
          <w:p w14:paraId="7B1CFBE4" w14:textId="77777777" w:rsidR="00FD249D" w:rsidRPr="00FD249D" w:rsidRDefault="00FD249D" w:rsidP="00FD249D">
            <w:r w:rsidRPr="00FD249D">
              <w:t>Fracht</w:t>
            </w:r>
          </w:p>
        </w:tc>
        <w:tc>
          <w:tcPr>
            <w:tcW w:w="0" w:type="auto"/>
            <w:vAlign w:val="center"/>
            <w:hideMark/>
          </w:tcPr>
          <w:p w14:paraId="21F864F9" w14:textId="77777777" w:rsidR="00FD249D" w:rsidRPr="00FD249D" w:rsidRDefault="00FD249D" w:rsidP="00FD249D">
            <w:proofErr w:type="spellStart"/>
            <w:r w:rsidRPr="00FD249D">
              <w:t>Batteriepack</w:t>
            </w:r>
            <w:proofErr w:type="spellEnd"/>
            <w:r w:rsidRPr="00FD249D">
              <w:t xml:space="preserve"> und </w:t>
            </w:r>
            <w:proofErr w:type="spellStart"/>
            <w:r w:rsidRPr="00FD249D">
              <w:t>Energiesystemkomponenten</w:t>
            </w:r>
            <w:proofErr w:type="spellEnd"/>
          </w:p>
        </w:tc>
      </w:tr>
      <w:tr w:rsidR="00FD249D" w:rsidRPr="00FD249D" w14:paraId="18562B4F" w14:textId="77777777" w:rsidTr="00FD249D">
        <w:trPr>
          <w:tblCellSpacing w:w="15" w:type="dxa"/>
        </w:trPr>
        <w:tc>
          <w:tcPr>
            <w:tcW w:w="0" w:type="auto"/>
            <w:vAlign w:val="center"/>
            <w:hideMark/>
          </w:tcPr>
          <w:p w14:paraId="146E6911" w14:textId="77777777" w:rsidR="00FD249D" w:rsidRPr="00FD249D" w:rsidRDefault="00FD249D" w:rsidP="00FD249D">
            <w:proofErr w:type="spellStart"/>
            <w:r w:rsidRPr="00FD249D">
              <w:t>Bestätigte</w:t>
            </w:r>
            <w:proofErr w:type="spellEnd"/>
            <w:r w:rsidRPr="00FD249D">
              <w:t xml:space="preserve"> </w:t>
            </w:r>
            <w:proofErr w:type="spellStart"/>
            <w:r w:rsidRPr="00FD249D">
              <w:t>Gewichte</w:t>
            </w:r>
            <w:proofErr w:type="spellEnd"/>
          </w:p>
        </w:tc>
        <w:tc>
          <w:tcPr>
            <w:tcW w:w="0" w:type="auto"/>
            <w:vAlign w:val="center"/>
            <w:hideMark/>
          </w:tcPr>
          <w:p w14:paraId="6AC16540" w14:textId="77777777" w:rsidR="00FD249D" w:rsidRPr="00FD249D" w:rsidRDefault="00FD249D" w:rsidP="00FD249D">
            <w:pPr>
              <w:rPr>
                <w:lang w:val="de-DE"/>
              </w:rPr>
            </w:pPr>
            <w:r w:rsidRPr="00FD249D">
              <w:rPr>
                <w:lang w:val="de-DE"/>
              </w:rPr>
              <w:t>Luftimport: 1.158 kg; Seefracht-Einheiten: 7,7 t Haupteinheit plus 400 kg Begleitkiste</w:t>
            </w:r>
          </w:p>
        </w:tc>
      </w:tr>
      <w:tr w:rsidR="00FD249D" w:rsidRPr="00FD249D" w14:paraId="5D1D66FD" w14:textId="77777777" w:rsidTr="00FD249D">
        <w:trPr>
          <w:tblCellSpacing w:w="15" w:type="dxa"/>
        </w:trPr>
        <w:tc>
          <w:tcPr>
            <w:tcW w:w="0" w:type="auto"/>
            <w:vAlign w:val="center"/>
            <w:hideMark/>
          </w:tcPr>
          <w:p w14:paraId="3CC82E1F" w14:textId="77777777" w:rsidR="00FD249D" w:rsidRPr="00FD249D" w:rsidRDefault="00FD249D" w:rsidP="00FD249D">
            <w:proofErr w:type="spellStart"/>
            <w:r w:rsidRPr="00FD249D">
              <w:t>Abmessungen</w:t>
            </w:r>
            <w:proofErr w:type="spellEnd"/>
            <w:r w:rsidRPr="00FD249D">
              <w:t xml:space="preserve"> der </w:t>
            </w:r>
            <w:proofErr w:type="spellStart"/>
            <w:r w:rsidRPr="00FD249D">
              <w:t>Haupteinheit</w:t>
            </w:r>
            <w:proofErr w:type="spellEnd"/>
          </w:p>
        </w:tc>
        <w:tc>
          <w:tcPr>
            <w:tcW w:w="0" w:type="auto"/>
            <w:vAlign w:val="center"/>
            <w:hideMark/>
          </w:tcPr>
          <w:p w14:paraId="669E2C7B" w14:textId="77777777" w:rsidR="00FD249D" w:rsidRPr="00FD249D" w:rsidRDefault="00FD249D" w:rsidP="00FD249D">
            <w:r w:rsidRPr="00FD249D">
              <w:t>Ca. 4,4 m × 2,0 m × 2,9 m</w:t>
            </w:r>
          </w:p>
        </w:tc>
      </w:tr>
    </w:tbl>
    <w:p w14:paraId="52F42D05" w14:textId="77777777" w:rsidR="00FD249D" w:rsidRDefault="00FD249D" w:rsidP="00FD249D">
      <w:pPr>
        <w:rPr>
          <w:b/>
          <w:bCs/>
        </w:rPr>
      </w:pPr>
    </w:p>
    <w:p w14:paraId="4C04DEDC" w14:textId="3E3A0590" w:rsidR="00FD249D" w:rsidRPr="00FD249D" w:rsidRDefault="00FD249D" w:rsidP="00FD249D">
      <w:proofErr w:type="spellStart"/>
      <w:r w:rsidRPr="00FD249D">
        <w:rPr>
          <w:b/>
          <w:bCs/>
        </w:rPr>
        <w:t>Projektübersicht</w:t>
      </w:r>
      <w:proofErr w:type="spellEnd"/>
    </w:p>
    <w:p w14:paraId="71E68DC9" w14:textId="77777777" w:rsidR="00FD249D" w:rsidRPr="00FD249D" w:rsidRDefault="00FD249D" w:rsidP="00FD249D">
      <w:pPr>
        <w:rPr>
          <w:lang w:val="de-DE"/>
        </w:rPr>
      </w:pPr>
      <w:r w:rsidRPr="00FD249D">
        <w:rPr>
          <w:lang w:val="de-DE"/>
        </w:rPr>
        <w:t>Der Hersteller benötigte eine operative Methode für übergroße Energiesystemausrüstung, spezielle Beladung und mehrere internationale Transportarten. Die unmittelbare Aufgabe war ein Straßentransport vom Vereinigten Königreich nach Deutschland. Der Umfang wurde anschließend um einen Luftimport von 1.158 kg von Australien in das Vereinigte Königreich sowie Seefracht-Einheiten vom Vereinigten Königreich nach Kanada erweitert.</w:t>
      </w:r>
    </w:p>
    <w:p w14:paraId="34DA5F7E" w14:textId="77777777" w:rsidR="00FD249D" w:rsidRPr="00FD249D" w:rsidRDefault="00FD249D" w:rsidP="00FD249D">
      <w:pPr>
        <w:rPr>
          <w:lang w:val="de-DE"/>
        </w:rPr>
      </w:pPr>
      <w:r w:rsidRPr="00FD249D">
        <w:rPr>
          <w:lang w:val="de-DE"/>
        </w:rPr>
        <w:t xml:space="preserve">Röhlig verband technische </w:t>
      </w:r>
      <w:proofErr w:type="spellStart"/>
      <w:r w:rsidRPr="00FD249D">
        <w:rPr>
          <w:lang w:val="de-DE"/>
        </w:rPr>
        <w:t>Handlingentscheidungen</w:t>
      </w:r>
      <w:proofErr w:type="spellEnd"/>
      <w:r w:rsidRPr="00FD249D">
        <w:rPr>
          <w:lang w:val="de-DE"/>
        </w:rPr>
        <w:t xml:space="preserve">, Lieferantenbereitschaft, Länderteams und Sendungstransparenz in einem gemeinsamen operativen Plan, gestützt auf die Kompetenzen in </w:t>
      </w:r>
      <w:hyperlink r:id="rId5" w:tgtFrame="_new" w:history="1">
        <w:r w:rsidRPr="00FD249D">
          <w:rPr>
            <w:rStyle w:val="Hyperlink"/>
            <w:lang w:val="de-DE"/>
          </w:rPr>
          <w:t>Projektlogistik</w:t>
        </w:r>
      </w:hyperlink>
      <w:r w:rsidRPr="00FD249D">
        <w:rPr>
          <w:lang w:val="de-DE"/>
        </w:rPr>
        <w:t xml:space="preserve"> und </w:t>
      </w:r>
      <w:hyperlink r:id="rId6" w:tgtFrame="_new" w:history="1">
        <w:r w:rsidRPr="00FD249D">
          <w:rPr>
            <w:rStyle w:val="Hyperlink"/>
            <w:lang w:val="de-DE"/>
          </w:rPr>
          <w:t>Logistik für erneuerbare Energien</w:t>
        </w:r>
      </w:hyperlink>
      <w:r w:rsidRPr="00FD249D">
        <w:rPr>
          <w:lang w:val="de-DE"/>
        </w:rPr>
        <w:t>.</w:t>
      </w:r>
    </w:p>
    <w:p w14:paraId="6CC2D3F4" w14:textId="77777777" w:rsidR="00FD249D" w:rsidRDefault="00FD249D" w:rsidP="00FD249D">
      <w:pPr>
        <w:rPr>
          <w:b/>
          <w:bCs/>
          <w:lang w:val="de-DE"/>
        </w:rPr>
      </w:pPr>
    </w:p>
    <w:p w14:paraId="388E27D6" w14:textId="7C6FEC22" w:rsidR="00FD249D" w:rsidRPr="00FD249D" w:rsidRDefault="00FD249D" w:rsidP="00FD249D">
      <w:pPr>
        <w:rPr>
          <w:lang w:val="de-DE"/>
        </w:rPr>
      </w:pPr>
      <w:r w:rsidRPr="00FD249D">
        <w:rPr>
          <w:b/>
          <w:bCs/>
          <w:lang w:val="de-DE"/>
        </w:rPr>
        <w:t>Die Herausforderung</w:t>
      </w:r>
    </w:p>
    <w:p w14:paraId="409B0606" w14:textId="77777777" w:rsidR="00FD249D" w:rsidRPr="00FD249D" w:rsidRDefault="00FD249D" w:rsidP="00FD249D">
      <w:pPr>
        <w:rPr>
          <w:lang w:val="de-DE"/>
        </w:rPr>
      </w:pPr>
      <w:r w:rsidRPr="00FD249D">
        <w:rPr>
          <w:lang w:val="de-DE"/>
        </w:rPr>
        <w:t xml:space="preserve">Die Komplexität lag an der Schnittstelle zwischen Engineering und Transport: übergroße Ausrüstung, spezieller Zugang und ein ursprünglicher </w:t>
      </w:r>
      <w:proofErr w:type="spellStart"/>
      <w:r w:rsidRPr="00FD249D">
        <w:rPr>
          <w:lang w:val="de-DE"/>
        </w:rPr>
        <w:t>Handlingvorschlag</w:t>
      </w:r>
      <w:proofErr w:type="spellEnd"/>
      <w:r w:rsidRPr="00FD249D">
        <w:rPr>
          <w:lang w:val="de-DE"/>
        </w:rPr>
        <w:t>, der vor der Umsetzung geprüft werden musste.</w:t>
      </w:r>
    </w:p>
    <w:p w14:paraId="1642E062" w14:textId="77777777" w:rsidR="00FD249D" w:rsidRPr="00FD249D" w:rsidRDefault="00FD249D" w:rsidP="00FD249D">
      <w:pPr>
        <w:numPr>
          <w:ilvl w:val="0"/>
          <w:numId w:val="1"/>
        </w:numPr>
        <w:rPr>
          <w:lang w:val="de-DE"/>
        </w:rPr>
      </w:pPr>
      <w:r w:rsidRPr="00FD249D">
        <w:rPr>
          <w:lang w:val="de-DE"/>
        </w:rPr>
        <w:t xml:space="preserve">Die vorgeschlagene </w:t>
      </w:r>
      <w:proofErr w:type="spellStart"/>
      <w:r w:rsidRPr="00FD249D">
        <w:rPr>
          <w:lang w:val="de-DE"/>
        </w:rPr>
        <w:t>Reefer</w:t>
      </w:r>
      <w:proofErr w:type="spellEnd"/>
      <w:r w:rsidRPr="00FD249D">
        <w:rPr>
          <w:lang w:val="de-DE"/>
        </w:rPr>
        <w:t xml:space="preserve">- und Slip-Sheet-Methode brachte vermeidbare </w:t>
      </w:r>
      <w:proofErr w:type="spellStart"/>
      <w:r w:rsidRPr="00FD249D">
        <w:rPr>
          <w:lang w:val="de-DE"/>
        </w:rPr>
        <w:t>Handlingkomplexität</w:t>
      </w:r>
      <w:proofErr w:type="spellEnd"/>
      <w:r w:rsidRPr="00FD249D">
        <w:rPr>
          <w:lang w:val="de-DE"/>
        </w:rPr>
        <w:t xml:space="preserve"> und operatives Risiko für die übergroße Ausrüstung mit sich. </w:t>
      </w:r>
    </w:p>
    <w:p w14:paraId="1EA6DF07" w14:textId="77777777" w:rsidR="00FD249D" w:rsidRPr="00FD249D" w:rsidRDefault="00FD249D" w:rsidP="00FD249D">
      <w:pPr>
        <w:numPr>
          <w:ilvl w:val="0"/>
          <w:numId w:val="1"/>
        </w:numPr>
        <w:rPr>
          <w:lang w:val="de-DE"/>
        </w:rPr>
      </w:pPr>
      <w:r w:rsidRPr="00FD249D">
        <w:rPr>
          <w:lang w:val="de-DE"/>
        </w:rPr>
        <w:t xml:space="preserve">Verpackung, Kranarbeiten, Verzurrung, Straßentransport und Handling am Zielort mussten als eine zusammenhängende Abfolge koordiniert werden, nicht als separate Buchungen. </w:t>
      </w:r>
    </w:p>
    <w:p w14:paraId="02C6D7B4" w14:textId="77777777" w:rsidR="00FD249D" w:rsidRPr="00FD249D" w:rsidRDefault="00FD249D" w:rsidP="00FD249D">
      <w:pPr>
        <w:numPr>
          <w:ilvl w:val="0"/>
          <w:numId w:val="1"/>
        </w:numPr>
        <w:rPr>
          <w:lang w:val="de-DE"/>
        </w:rPr>
      </w:pPr>
      <w:r w:rsidRPr="00FD249D">
        <w:rPr>
          <w:lang w:val="de-DE"/>
        </w:rPr>
        <w:lastRenderedPageBreak/>
        <w:t xml:space="preserve">Aktivitäten in vier Ländern erforderten konsistentes Onboarding, klare Übergaben und transparente Abläufe, wobei abgeschlossene und bestätigte Arbeitsschritte eindeutig voneinander getrennt bleiben mussten. </w:t>
      </w:r>
    </w:p>
    <w:p w14:paraId="7B7BD72F" w14:textId="77777777" w:rsidR="00FD249D" w:rsidRDefault="00FD249D" w:rsidP="00FD249D">
      <w:pPr>
        <w:rPr>
          <w:b/>
          <w:bCs/>
          <w:lang w:val="de-DE"/>
        </w:rPr>
      </w:pPr>
    </w:p>
    <w:p w14:paraId="214DC4CC" w14:textId="094A1E5F" w:rsidR="00FD249D" w:rsidRPr="00FD249D" w:rsidRDefault="00FD249D" w:rsidP="00FD249D">
      <w:pPr>
        <w:rPr>
          <w:lang w:val="de-DE"/>
        </w:rPr>
      </w:pPr>
      <w:r w:rsidRPr="00FD249D">
        <w:rPr>
          <w:b/>
          <w:bCs/>
          <w:lang w:val="de-DE"/>
        </w:rPr>
        <w:t>Die Lösung</w:t>
      </w:r>
    </w:p>
    <w:p w14:paraId="3F8386A0" w14:textId="77777777" w:rsidR="00FD249D" w:rsidRPr="00FD249D" w:rsidRDefault="00FD249D" w:rsidP="00FD249D">
      <w:pPr>
        <w:rPr>
          <w:lang w:val="de-DE"/>
        </w:rPr>
      </w:pPr>
      <w:r w:rsidRPr="00FD249D">
        <w:rPr>
          <w:b/>
          <w:bCs/>
          <w:lang w:val="de-DE"/>
        </w:rPr>
        <w:t xml:space="preserve">1. Neugestaltung des </w:t>
      </w:r>
      <w:proofErr w:type="spellStart"/>
      <w:r w:rsidRPr="00FD249D">
        <w:rPr>
          <w:b/>
          <w:bCs/>
          <w:lang w:val="de-DE"/>
        </w:rPr>
        <w:t>Handlingkonzepts</w:t>
      </w:r>
      <w:proofErr w:type="spellEnd"/>
    </w:p>
    <w:p w14:paraId="33D081AA" w14:textId="77777777" w:rsidR="00FD249D" w:rsidRPr="00FD249D" w:rsidRDefault="00FD249D" w:rsidP="00FD249D">
      <w:pPr>
        <w:rPr>
          <w:lang w:val="de-DE"/>
        </w:rPr>
      </w:pPr>
      <w:r w:rsidRPr="00FD249D">
        <w:rPr>
          <w:lang w:val="de-DE"/>
        </w:rPr>
        <w:t xml:space="preserve">Röhlig begann mit einer Machbarkeitsprüfung der Fracht, der Zugangsbedingungen und der vorgeschlagenen Belademethode. Das Team empfahl Flat-Rack- und Kranhandling anstelle des </w:t>
      </w:r>
      <w:proofErr w:type="spellStart"/>
      <w:r w:rsidRPr="00FD249D">
        <w:rPr>
          <w:lang w:val="de-DE"/>
        </w:rPr>
        <w:t>Reefer</w:t>
      </w:r>
      <w:proofErr w:type="spellEnd"/>
      <w:r w:rsidRPr="00FD249D">
        <w:rPr>
          <w:lang w:val="de-DE"/>
        </w:rPr>
        <w:t>- und Slip-Sheet-Konzepts. Dadurch konnte der Hebe- und Sicherungsplan an den tatsächlichen Abmessungen und dem operativen Umfeld der Fracht ausgerichtet werden.</w:t>
      </w:r>
    </w:p>
    <w:p w14:paraId="610B32EB" w14:textId="77777777" w:rsidR="00FD249D" w:rsidRPr="00FD249D" w:rsidRDefault="00FD249D" w:rsidP="00FD249D">
      <w:pPr>
        <w:rPr>
          <w:lang w:val="de-DE"/>
        </w:rPr>
      </w:pPr>
      <w:r w:rsidRPr="00FD249D">
        <w:rPr>
          <w:b/>
          <w:bCs/>
          <w:lang w:val="de-DE"/>
        </w:rPr>
        <w:t xml:space="preserve">2. Zusammenführung des </w:t>
      </w:r>
      <w:proofErr w:type="spellStart"/>
      <w:r w:rsidRPr="00FD249D">
        <w:rPr>
          <w:b/>
          <w:bCs/>
          <w:lang w:val="de-DE"/>
        </w:rPr>
        <w:t>Spezialistennetzwerks</w:t>
      </w:r>
      <w:proofErr w:type="spellEnd"/>
    </w:p>
    <w:p w14:paraId="05AD4B40" w14:textId="77777777" w:rsidR="00FD249D" w:rsidRPr="00FD249D" w:rsidRDefault="00FD249D" w:rsidP="00FD249D">
      <w:pPr>
        <w:rPr>
          <w:lang w:val="de-DE"/>
        </w:rPr>
      </w:pPr>
      <w:r w:rsidRPr="00FD249D">
        <w:rPr>
          <w:lang w:val="de-DE"/>
        </w:rPr>
        <w:t xml:space="preserve">Röhlig koordinierte das Verpackungsunternehmen, den Krananbieter, </w:t>
      </w:r>
      <w:proofErr w:type="spellStart"/>
      <w:r w:rsidRPr="00FD249D">
        <w:rPr>
          <w:lang w:val="de-DE"/>
        </w:rPr>
        <w:t>Verzurrspezialisten</w:t>
      </w:r>
      <w:proofErr w:type="spellEnd"/>
      <w:r w:rsidRPr="00FD249D">
        <w:rPr>
          <w:lang w:val="de-DE"/>
        </w:rPr>
        <w:t xml:space="preserve">, den Straßentransportunternehmer und das </w:t>
      </w:r>
      <w:proofErr w:type="spellStart"/>
      <w:r w:rsidRPr="00FD249D">
        <w:rPr>
          <w:lang w:val="de-DE"/>
        </w:rPr>
        <w:t>Zielteam</w:t>
      </w:r>
      <w:proofErr w:type="spellEnd"/>
      <w:r w:rsidRPr="00FD249D">
        <w:rPr>
          <w:lang w:val="de-DE"/>
        </w:rPr>
        <w:t>. Ausrüstung und Dienstleister wurden vor der Beladung abgestimmt, Zugangs- und Positionierungsanforderungen anhand der Fracht geprüft, und mehr als zehn Stunden Vor-Ort-Überwachung unterstützten eine kontrollierte Umsetzung.</w:t>
      </w:r>
    </w:p>
    <w:p w14:paraId="642C7C9D" w14:textId="77777777" w:rsidR="00FD249D" w:rsidRPr="00FD249D" w:rsidRDefault="00FD249D" w:rsidP="00FD249D">
      <w:pPr>
        <w:rPr>
          <w:lang w:val="de-DE"/>
        </w:rPr>
      </w:pPr>
      <w:r w:rsidRPr="00FD249D">
        <w:rPr>
          <w:b/>
          <w:bCs/>
          <w:lang w:val="de-DE"/>
        </w:rPr>
        <w:t>3. Ein grenzüberschreitender operativer Plan</w:t>
      </w:r>
    </w:p>
    <w:p w14:paraId="19B56CE0" w14:textId="77777777" w:rsidR="00FD249D" w:rsidRPr="00FD249D" w:rsidRDefault="00FD249D" w:rsidP="00FD249D">
      <w:pPr>
        <w:rPr>
          <w:lang w:val="de-DE"/>
        </w:rPr>
      </w:pPr>
      <w:r w:rsidRPr="00FD249D">
        <w:rPr>
          <w:lang w:val="de-DE"/>
        </w:rPr>
        <w:t>Strukturiertes Onboarding und historische Routendaten halfen den beteiligten Teams, auf Basis eines gemeinsamen operativen Bildes zu arbeiten. Das Vereinigte Königreich und Deutschland unterstützten den abgeschlossenen Straßentransport; Australien und das Vereinigte Königreich koordinierten den bestätigten Luftimport von 1.158 kg; und das Vereinigte Königreich und Kanada unterstützten den Seefrachtumfang für die 7,7 t schwere Haupteinheit und die 400 kg schwere Begleitkiste.</w:t>
      </w:r>
    </w:p>
    <w:p w14:paraId="601E9F0C" w14:textId="77777777" w:rsidR="00FD249D" w:rsidRPr="00FD249D" w:rsidRDefault="00FD249D" w:rsidP="00FD249D">
      <w:pPr>
        <w:rPr>
          <w:lang w:val="de-DE"/>
        </w:rPr>
      </w:pPr>
      <w:r w:rsidRPr="00FD249D">
        <w:rPr>
          <w:b/>
          <w:bCs/>
          <w:lang w:val="de-DE"/>
        </w:rPr>
        <w:t>4. Passende Transportarten und Sichtbarkeitstools für jede Sendung</w:t>
      </w:r>
    </w:p>
    <w:p w14:paraId="11C868C1" w14:textId="77777777" w:rsidR="00FD249D" w:rsidRPr="00FD249D" w:rsidRDefault="00FD249D" w:rsidP="00FD249D">
      <w:pPr>
        <w:rPr>
          <w:lang w:val="de-DE"/>
        </w:rPr>
      </w:pPr>
      <w:r w:rsidRPr="00FD249D">
        <w:rPr>
          <w:lang w:val="de-DE"/>
        </w:rPr>
        <w:t xml:space="preserve">Das Programm nutzte Straßen-, Luft- und Seefracht entsprechend den Anforderungen von Fracht und Route. Röhligs </w:t>
      </w:r>
      <w:hyperlink r:id="rId7" w:tgtFrame="_new" w:history="1">
        <w:r w:rsidRPr="00FD249D">
          <w:rPr>
            <w:rStyle w:val="Hyperlink"/>
            <w:lang w:val="de-DE"/>
          </w:rPr>
          <w:t>Luftfracht</w:t>
        </w:r>
      </w:hyperlink>
      <w:r w:rsidRPr="00FD249D">
        <w:rPr>
          <w:lang w:val="de-DE"/>
        </w:rPr>
        <w:t xml:space="preserve"> und </w:t>
      </w:r>
      <w:hyperlink r:id="rId8" w:tgtFrame="_new" w:history="1">
        <w:r w:rsidRPr="00FD249D">
          <w:rPr>
            <w:rStyle w:val="Hyperlink"/>
            <w:lang w:val="de-DE"/>
          </w:rPr>
          <w:t>Seefracht</w:t>
        </w:r>
      </w:hyperlink>
      <w:r w:rsidRPr="00FD249D">
        <w:rPr>
          <w:lang w:val="de-DE"/>
        </w:rPr>
        <w:t xml:space="preserve"> wurden mit dem </w:t>
      </w:r>
      <w:proofErr w:type="spellStart"/>
      <w:r w:rsidRPr="00FD249D">
        <w:rPr>
          <w:lang w:val="de-DE"/>
        </w:rPr>
        <w:t>Projekthandlingplan</w:t>
      </w:r>
      <w:proofErr w:type="spellEnd"/>
      <w:r w:rsidRPr="00FD249D">
        <w:rPr>
          <w:lang w:val="de-DE"/>
        </w:rPr>
        <w:t xml:space="preserve"> koordiniert, während zwei Tracker zusätzliche Sendungsübersicht boten.</w:t>
      </w:r>
    </w:p>
    <w:p w14:paraId="3434F7EB" w14:textId="77777777" w:rsidR="00FD249D" w:rsidRDefault="00FD249D" w:rsidP="00FD249D">
      <w:pPr>
        <w:rPr>
          <w:b/>
          <w:bCs/>
          <w:lang w:val="de-DE"/>
        </w:rPr>
      </w:pPr>
    </w:p>
    <w:p w14:paraId="50675BF9" w14:textId="58FB1A83" w:rsidR="00FD249D" w:rsidRPr="00FD249D" w:rsidRDefault="00FD249D" w:rsidP="00FD249D">
      <w:pPr>
        <w:rPr>
          <w:lang w:val="de-DE"/>
        </w:rPr>
      </w:pPr>
      <w:r w:rsidRPr="00FD249D">
        <w:rPr>
          <w:b/>
          <w:bCs/>
          <w:lang w:val="de-DE"/>
        </w:rPr>
        <w:t>Das Ergebnis</w:t>
      </w:r>
    </w:p>
    <w:p w14:paraId="28405193" w14:textId="77777777" w:rsidR="00FD249D" w:rsidRPr="00FD249D" w:rsidRDefault="00FD249D" w:rsidP="00FD249D">
      <w:pPr>
        <w:rPr>
          <w:lang w:val="de-DE"/>
        </w:rPr>
      </w:pPr>
      <w:r w:rsidRPr="00FD249D">
        <w:rPr>
          <w:lang w:val="de-DE"/>
        </w:rPr>
        <w:t xml:space="preserve">Der erste Straßentransport wurde erfolgreich abgeschlossen und entladen. Noch wichtiger: Die technische Beratung vor dem Transport reduzierte </w:t>
      </w:r>
      <w:proofErr w:type="spellStart"/>
      <w:r w:rsidRPr="00FD249D">
        <w:rPr>
          <w:lang w:val="de-DE"/>
        </w:rPr>
        <w:t>Handlingrisiken</w:t>
      </w:r>
      <w:proofErr w:type="spellEnd"/>
      <w:r w:rsidRPr="00FD249D">
        <w:rPr>
          <w:lang w:val="de-DE"/>
        </w:rPr>
        <w:t xml:space="preserve"> und schuf eine praxistaugliche Methode, die bei erweitertem Bedarf des Kunden erneut eingesetzt werden konnte.</w:t>
      </w:r>
    </w:p>
    <w:p w14:paraId="46864061" w14:textId="77777777" w:rsidR="00FD249D" w:rsidRPr="00FD249D" w:rsidRDefault="00FD249D" w:rsidP="00FD249D">
      <w:pPr>
        <w:numPr>
          <w:ilvl w:val="0"/>
          <w:numId w:val="2"/>
        </w:numPr>
        <w:rPr>
          <w:lang w:val="de-DE"/>
        </w:rPr>
      </w:pPr>
      <w:r w:rsidRPr="00FD249D">
        <w:rPr>
          <w:lang w:val="de-DE"/>
        </w:rPr>
        <w:t xml:space="preserve">Ein abgeschlossener Straßentransport vom Vereinigten Königreich nach Deutschland, einschließlich erfolgreicher Entladung. </w:t>
      </w:r>
    </w:p>
    <w:p w14:paraId="2760AA1F" w14:textId="77777777" w:rsidR="00FD249D" w:rsidRPr="00FD249D" w:rsidRDefault="00FD249D" w:rsidP="00FD249D">
      <w:pPr>
        <w:numPr>
          <w:ilvl w:val="0"/>
          <w:numId w:val="2"/>
        </w:numPr>
        <w:rPr>
          <w:lang w:val="de-DE"/>
        </w:rPr>
      </w:pPr>
      <w:r w:rsidRPr="00FD249D">
        <w:rPr>
          <w:lang w:val="de-DE"/>
        </w:rPr>
        <w:t xml:space="preserve">Ein bestätigter Luftimport von 1.158 kg von Australien in das Vereinigte Königreich sowie ein Seefrachtumfang vom Vereinigten Königreich nach Kanada mit einer 7,7 t schweren Haupteinheit und einer 400 kg schweren Begleitkiste. </w:t>
      </w:r>
    </w:p>
    <w:p w14:paraId="426B3BC8" w14:textId="77777777" w:rsidR="00FD249D" w:rsidRPr="00FD249D" w:rsidRDefault="00FD249D" w:rsidP="00FD249D">
      <w:pPr>
        <w:numPr>
          <w:ilvl w:val="0"/>
          <w:numId w:val="2"/>
        </w:numPr>
        <w:rPr>
          <w:lang w:val="de-DE"/>
        </w:rPr>
      </w:pPr>
      <w:r w:rsidRPr="00FD249D">
        <w:rPr>
          <w:lang w:val="de-DE"/>
        </w:rPr>
        <w:t xml:space="preserve">Ein operativer Plan, der Ursprung, Ziel und spezialisierte Dienstleister über vier Länder hinweg verband. </w:t>
      </w:r>
    </w:p>
    <w:p w14:paraId="26E13D4D" w14:textId="77777777" w:rsidR="00FD249D" w:rsidRPr="00FD249D" w:rsidRDefault="00FD249D" w:rsidP="00FD249D">
      <w:pPr>
        <w:numPr>
          <w:ilvl w:val="0"/>
          <w:numId w:val="2"/>
        </w:numPr>
        <w:rPr>
          <w:lang w:val="de-DE"/>
        </w:rPr>
      </w:pPr>
      <w:r w:rsidRPr="00FD249D">
        <w:rPr>
          <w:lang w:val="de-DE"/>
        </w:rPr>
        <w:t xml:space="preserve">Eine dokumentierte Basis aus Abmessungen, Fotos, Meilensteinen und </w:t>
      </w:r>
      <w:proofErr w:type="spellStart"/>
      <w:r w:rsidRPr="00FD249D">
        <w:rPr>
          <w:lang w:val="de-DE"/>
        </w:rPr>
        <w:t>Handlingentscheidungen</w:t>
      </w:r>
      <w:proofErr w:type="spellEnd"/>
      <w:r w:rsidRPr="00FD249D">
        <w:rPr>
          <w:lang w:val="de-DE"/>
        </w:rPr>
        <w:t xml:space="preserve"> für zukünftige Planung und regionale Wiederverwendung. </w:t>
      </w:r>
    </w:p>
    <w:p w14:paraId="004116F0" w14:textId="77777777" w:rsidR="00FD249D" w:rsidRDefault="00FD249D" w:rsidP="00FD249D">
      <w:pPr>
        <w:rPr>
          <w:b/>
          <w:bCs/>
          <w:lang w:val="de-DE"/>
        </w:rPr>
      </w:pPr>
    </w:p>
    <w:p w14:paraId="29F97E0D" w14:textId="6F17D486" w:rsidR="00FD249D" w:rsidRPr="00FD249D" w:rsidRDefault="00FD249D" w:rsidP="00FD249D">
      <w:pPr>
        <w:rPr>
          <w:lang w:val="de-DE"/>
        </w:rPr>
      </w:pPr>
      <w:r w:rsidRPr="00FD249D">
        <w:rPr>
          <w:b/>
          <w:bCs/>
          <w:lang w:val="de-DE"/>
        </w:rPr>
        <w:t>Vorgeschlagenes Zitat</w:t>
      </w:r>
    </w:p>
    <w:p w14:paraId="636592B6" w14:textId="77777777" w:rsidR="00FD249D" w:rsidRPr="00FD249D" w:rsidRDefault="00FD249D" w:rsidP="00FD249D">
      <w:pPr>
        <w:rPr>
          <w:lang w:val="de-DE"/>
        </w:rPr>
      </w:pPr>
      <w:r w:rsidRPr="00FD249D">
        <w:rPr>
          <w:lang w:val="de-DE"/>
        </w:rPr>
        <w:t xml:space="preserve">„Dieses Projekt zeigt, warum komplexe Logistik beginnt, bevor sich die Fracht bewegt. Durch die Prüfung der vorgeschlagenen Methode, die Einbindung der richtigen Spezialisten und einen gemeinsamen operativen Plan für alle Länderteams haben wir einen </w:t>
      </w:r>
      <w:proofErr w:type="spellStart"/>
      <w:r w:rsidRPr="00FD249D">
        <w:rPr>
          <w:lang w:val="de-DE"/>
        </w:rPr>
        <w:t>Handlingansatz</w:t>
      </w:r>
      <w:proofErr w:type="spellEnd"/>
      <w:r w:rsidRPr="00FD249D">
        <w:rPr>
          <w:lang w:val="de-DE"/>
        </w:rPr>
        <w:t xml:space="preserve"> geschaffen, der das umfassendere Programm des Kunden unterstützen konnte.“</w:t>
      </w:r>
    </w:p>
    <w:p w14:paraId="4ABA2FBA" w14:textId="77777777" w:rsidR="00FD249D" w:rsidRPr="00FD249D" w:rsidRDefault="00FD249D" w:rsidP="00FD249D">
      <w:pPr>
        <w:rPr>
          <w:lang w:val="de-DE"/>
        </w:rPr>
      </w:pPr>
      <w:r w:rsidRPr="00FD249D">
        <w:rPr>
          <w:b/>
          <w:bCs/>
          <w:lang w:val="de-DE"/>
        </w:rPr>
        <w:t>— Röhlig Projektteam</w:t>
      </w:r>
    </w:p>
    <w:p w14:paraId="63C5C3B7" w14:textId="77777777" w:rsidR="00FD249D" w:rsidRPr="00FD249D" w:rsidRDefault="00FD249D" w:rsidP="00FD249D">
      <w:pPr>
        <w:rPr>
          <w:lang w:val="de-DE"/>
        </w:rPr>
      </w:pPr>
      <w:r w:rsidRPr="00FD249D">
        <w:rPr>
          <w:i/>
          <w:iCs/>
          <w:lang w:val="de-DE"/>
        </w:rPr>
        <w:t>Vorgeschlagener Text. Fachliche Freigabe und Zustimmung zur Zuordnung sind vor der Veröffentlichung erforderlich.</w:t>
      </w:r>
    </w:p>
    <w:p w14:paraId="5FCA0F08" w14:textId="77777777" w:rsidR="00FD249D" w:rsidRDefault="00FD249D" w:rsidP="00FD249D">
      <w:pPr>
        <w:rPr>
          <w:b/>
          <w:bCs/>
          <w:lang w:val="de-DE"/>
        </w:rPr>
      </w:pPr>
    </w:p>
    <w:p w14:paraId="34F238D2" w14:textId="5C19AB36" w:rsidR="00FD249D" w:rsidRPr="00FD249D" w:rsidRDefault="00FD249D" w:rsidP="00FD249D">
      <w:pPr>
        <w:rPr>
          <w:lang w:val="de-DE"/>
        </w:rPr>
      </w:pPr>
      <w:r w:rsidRPr="00FD249D">
        <w:rPr>
          <w:b/>
          <w:bCs/>
          <w:lang w:val="de-DE"/>
        </w:rPr>
        <w:t>FAQs</w:t>
      </w:r>
    </w:p>
    <w:p w14:paraId="4B7A94FF" w14:textId="77777777" w:rsidR="00FD249D" w:rsidRPr="00FD249D" w:rsidRDefault="00FD249D" w:rsidP="00FD249D">
      <w:pPr>
        <w:rPr>
          <w:lang w:val="de-DE"/>
        </w:rPr>
      </w:pPr>
      <w:r w:rsidRPr="00FD249D">
        <w:rPr>
          <w:b/>
          <w:bCs/>
          <w:lang w:val="de-DE"/>
        </w:rPr>
        <w:t>Wie plant man Logistik für übergroße Lithiumbatterie-Ausrüstung?</w:t>
      </w:r>
    </w:p>
    <w:p w14:paraId="38B2EA21" w14:textId="77777777" w:rsidR="00FD249D" w:rsidRPr="00FD249D" w:rsidRDefault="00FD249D" w:rsidP="00FD249D">
      <w:pPr>
        <w:rPr>
          <w:lang w:val="de-DE"/>
        </w:rPr>
      </w:pPr>
      <w:r w:rsidRPr="00FD249D">
        <w:rPr>
          <w:lang w:val="de-DE"/>
        </w:rPr>
        <w:t>Die Planung beginnt mit verifizierten Frachtabmessungen und Gewichten, Route und Standortzugang, der Hebe- und Sicherungsmethode sowie möglichen Anforderungen für Gefahrgut. Anschließend sollten Transportart und Ausrüstung auf dieser Grundlage ausgewählt werden, wobei Verpackungs-, Kran-, Verzurr- und Zielpartner bereits vor Beginn der Beladung eingebunden werden.</w:t>
      </w:r>
    </w:p>
    <w:p w14:paraId="42CCD89E" w14:textId="77777777" w:rsidR="00FD249D" w:rsidRPr="00FD249D" w:rsidRDefault="00FD249D" w:rsidP="00FD249D">
      <w:pPr>
        <w:rPr>
          <w:lang w:val="de-DE"/>
        </w:rPr>
      </w:pPr>
      <w:r w:rsidRPr="00FD249D">
        <w:rPr>
          <w:b/>
          <w:bCs/>
          <w:lang w:val="de-DE"/>
        </w:rPr>
        <w:lastRenderedPageBreak/>
        <w:t>Warum empfahl Röhlig für dieses Projekt Flat-Rack- und Kranhandling?</w:t>
      </w:r>
    </w:p>
    <w:p w14:paraId="479EFD10" w14:textId="77777777" w:rsidR="00FD249D" w:rsidRPr="00FD249D" w:rsidRDefault="00FD249D" w:rsidP="00FD249D">
      <w:pPr>
        <w:rPr>
          <w:lang w:val="de-DE"/>
        </w:rPr>
      </w:pPr>
      <w:r w:rsidRPr="00FD249D">
        <w:rPr>
          <w:lang w:val="de-DE"/>
        </w:rPr>
        <w:t xml:space="preserve">Die Machbarkeitsprüfung ergab, dass Flat-Rack- und Kranhandling besser für die übergroße Ausrüstung geeignet war als die vorgeschlagene </w:t>
      </w:r>
      <w:proofErr w:type="spellStart"/>
      <w:r w:rsidRPr="00FD249D">
        <w:rPr>
          <w:lang w:val="de-DE"/>
        </w:rPr>
        <w:t>Reefer</w:t>
      </w:r>
      <w:proofErr w:type="spellEnd"/>
      <w:r w:rsidRPr="00FD249D">
        <w:rPr>
          <w:lang w:val="de-DE"/>
        </w:rPr>
        <w:t xml:space="preserve">- und Slip-Sheet-Methode. Dadurch wurde vermeidbare </w:t>
      </w:r>
      <w:proofErr w:type="spellStart"/>
      <w:r w:rsidRPr="00FD249D">
        <w:rPr>
          <w:lang w:val="de-DE"/>
        </w:rPr>
        <w:t>Handlingkomplexität</w:t>
      </w:r>
      <w:proofErr w:type="spellEnd"/>
      <w:r w:rsidRPr="00FD249D">
        <w:rPr>
          <w:lang w:val="de-DE"/>
        </w:rPr>
        <w:t xml:space="preserve"> reduziert und der Hebe- und Ladungssicherungsplan konnte an den tatsächlichen Abmessungen der Einheit ausgerichtet werden. Die richtige Methode hängt immer von Fracht, Route und Standortbedingungen ab.</w:t>
      </w:r>
    </w:p>
    <w:p w14:paraId="395F3C95" w14:textId="77777777" w:rsidR="00FD249D" w:rsidRPr="00FD249D" w:rsidRDefault="00FD249D" w:rsidP="00FD249D">
      <w:pPr>
        <w:rPr>
          <w:lang w:val="de-DE"/>
        </w:rPr>
      </w:pPr>
      <w:r w:rsidRPr="00FD249D">
        <w:rPr>
          <w:b/>
          <w:bCs/>
          <w:lang w:val="de-DE"/>
        </w:rPr>
        <w:t>Wie kann Sichtbarkeit in einem multimodalen, länderübergreifenden Logistikprogramm sichergestellt werden?</w:t>
      </w:r>
    </w:p>
    <w:p w14:paraId="3997688D" w14:textId="799E1665" w:rsidR="00EC47C9" w:rsidRPr="00FD249D" w:rsidRDefault="00FD249D">
      <w:pPr>
        <w:rPr>
          <w:lang w:val="de-DE"/>
        </w:rPr>
      </w:pPr>
      <w:r w:rsidRPr="00FD249D">
        <w:rPr>
          <w:lang w:val="de-DE"/>
        </w:rPr>
        <w:t>Ein gemeinsamer operativer Plan mit klaren Verantwortlichkeiten, gemeinsamen Meilensteinen und strukturierten Übergaben zwischen Ursprung, Ziel und spezialisierten Dienstleistern ist entscheidend. In diesem Programm unterstützten historische Routendaten, koordiniertes Onboarding, Vor-Ort-Überwachung und zwei Tracker die Übersicht über Straßen-, Luft- und Seefrachtumfang.</w:t>
      </w:r>
    </w:p>
    <w:sectPr w:rsidR="00EC47C9" w:rsidRPr="00FD24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799B"/>
    <w:multiLevelType w:val="multilevel"/>
    <w:tmpl w:val="0088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C5853"/>
    <w:multiLevelType w:val="multilevel"/>
    <w:tmpl w:val="4874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93445">
    <w:abstractNumId w:val="0"/>
  </w:num>
  <w:num w:numId="2" w16cid:durableId="2107731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49D"/>
    <w:rsid w:val="0011157C"/>
    <w:rsid w:val="007D0679"/>
    <w:rsid w:val="00E75266"/>
    <w:rsid w:val="00EC47C9"/>
    <w:rsid w:val="00FD249D"/>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900A"/>
  <w15:chartTrackingRefBased/>
  <w15:docId w15:val="{5D7F48FA-626E-463B-8986-4B9873918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D24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24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249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249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249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D24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24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24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24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49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FD249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FD249D"/>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FD249D"/>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FD249D"/>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FD249D"/>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D249D"/>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FD249D"/>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D249D"/>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FD24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49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D24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49D"/>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D24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249D"/>
    <w:rPr>
      <w:i/>
      <w:iCs/>
      <w:color w:val="404040" w:themeColor="text1" w:themeTint="BF"/>
      <w:lang w:val="en-GB"/>
    </w:rPr>
  </w:style>
  <w:style w:type="paragraph" w:styleId="ListParagraph">
    <w:name w:val="List Paragraph"/>
    <w:basedOn w:val="Normal"/>
    <w:uiPriority w:val="34"/>
    <w:qFormat/>
    <w:rsid w:val="00FD249D"/>
    <w:pPr>
      <w:ind w:left="720"/>
      <w:contextualSpacing/>
    </w:pPr>
  </w:style>
  <w:style w:type="character" w:styleId="IntenseEmphasis">
    <w:name w:val="Intense Emphasis"/>
    <w:basedOn w:val="DefaultParagraphFont"/>
    <w:uiPriority w:val="21"/>
    <w:qFormat/>
    <w:rsid w:val="00FD249D"/>
    <w:rPr>
      <w:i/>
      <w:iCs/>
      <w:color w:val="2F5496" w:themeColor="accent1" w:themeShade="BF"/>
    </w:rPr>
  </w:style>
  <w:style w:type="paragraph" w:styleId="IntenseQuote">
    <w:name w:val="Intense Quote"/>
    <w:basedOn w:val="Normal"/>
    <w:next w:val="Normal"/>
    <w:link w:val="IntenseQuoteChar"/>
    <w:uiPriority w:val="30"/>
    <w:qFormat/>
    <w:rsid w:val="00FD24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249D"/>
    <w:rPr>
      <w:i/>
      <w:iCs/>
      <w:color w:val="2F5496" w:themeColor="accent1" w:themeShade="BF"/>
      <w:lang w:val="en-GB"/>
    </w:rPr>
  </w:style>
  <w:style w:type="character" w:styleId="IntenseReference">
    <w:name w:val="Intense Reference"/>
    <w:basedOn w:val="DefaultParagraphFont"/>
    <w:uiPriority w:val="32"/>
    <w:qFormat/>
    <w:rsid w:val="00FD249D"/>
    <w:rPr>
      <w:b/>
      <w:bCs/>
      <w:smallCaps/>
      <w:color w:val="2F5496" w:themeColor="accent1" w:themeShade="BF"/>
      <w:spacing w:val="5"/>
    </w:rPr>
  </w:style>
  <w:style w:type="character" w:styleId="Hyperlink">
    <w:name w:val="Hyperlink"/>
    <w:basedOn w:val="DefaultParagraphFont"/>
    <w:uiPriority w:val="99"/>
    <w:unhideWhenUsed/>
    <w:rsid w:val="00FD249D"/>
    <w:rPr>
      <w:color w:val="0563C1" w:themeColor="hyperlink"/>
      <w:u w:val="single"/>
    </w:rPr>
  </w:style>
  <w:style w:type="character" w:styleId="UnresolvedMention">
    <w:name w:val="Unresolved Mention"/>
    <w:basedOn w:val="DefaultParagraphFont"/>
    <w:uiPriority w:val="99"/>
    <w:semiHidden/>
    <w:unhideWhenUsed/>
    <w:rsid w:val="00FD2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61">
      <w:bodyDiv w:val="1"/>
      <w:marLeft w:val="0"/>
      <w:marRight w:val="0"/>
      <w:marTop w:val="0"/>
      <w:marBottom w:val="0"/>
      <w:divBdr>
        <w:top w:val="none" w:sz="0" w:space="0" w:color="auto"/>
        <w:left w:val="none" w:sz="0" w:space="0" w:color="auto"/>
        <w:bottom w:val="none" w:sz="0" w:space="0" w:color="auto"/>
        <w:right w:val="none" w:sz="0" w:space="0" w:color="auto"/>
      </w:divBdr>
      <w:divsChild>
        <w:div w:id="1442841423">
          <w:marLeft w:val="0"/>
          <w:marRight w:val="0"/>
          <w:marTop w:val="0"/>
          <w:marBottom w:val="0"/>
          <w:divBdr>
            <w:top w:val="none" w:sz="0" w:space="0" w:color="auto"/>
            <w:left w:val="none" w:sz="0" w:space="0" w:color="auto"/>
            <w:bottom w:val="none" w:sz="0" w:space="0" w:color="auto"/>
            <w:right w:val="none" w:sz="0" w:space="0" w:color="auto"/>
          </w:divBdr>
          <w:divsChild>
            <w:div w:id="112539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863545">
      <w:bodyDiv w:val="1"/>
      <w:marLeft w:val="0"/>
      <w:marRight w:val="0"/>
      <w:marTop w:val="0"/>
      <w:marBottom w:val="0"/>
      <w:divBdr>
        <w:top w:val="none" w:sz="0" w:space="0" w:color="auto"/>
        <w:left w:val="none" w:sz="0" w:space="0" w:color="auto"/>
        <w:bottom w:val="none" w:sz="0" w:space="0" w:color="auto"/>
        <w:right w:val="none" w:sz="0" w:space="0" w:color="auto"/>
      </w:divBdr>
      <w:divsChild>
        <w:div w:id="1962615271">
          <w:marLeft w:val="0"/>
          <w:marRight w:val="0"/>
          <w:marTop w:val="0"/>
          <w:marBottom w:val="0"/>
          <w:divBdr>
            <w:top w:val="none" w:sz="0" w:space="0" w:color="auto"/>
            <w:left w:val="none" w:sz="0" w:space="0" w:color="auto"/>
            <w:bottom w:val="none" w:sz="0" w:space="0" w:color="auto"/>
            <w:right w:val="none" w:sz="0" w:space="0" w:color="auto"/>
          </w:divBdr>
          <w:divsChild>
            <w:div w:id="17797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hlig.com/freight-solutions/sea-freight/"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rohlig.com/freight-solutions/air-freigh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industry-solutions/renewable-energy-logistics/" TargetMode="External"/><Relationship Id="rId11" Type="http://schemas.openxmlformats.org/officeDocument/2006/relationships/customXml" Target="../customXml/item1.xml"/><Relationship Id="rId5" Type="http://schemas.openxmlformats.org/officeDocument/2006/relationships/hyperlink" Target="https://www.rohlig.com/freight-solutions/warehousing-value-added-services/project-logisti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3D0ACC56-588E-4D26-9B63-7502C0900C8C}"/>
</file>

<file path=customXml/itemProps2.xml><?xml version="1.0" encoding="utf-8"?>
<ds:datastoreItem xmlns:ds="http://schemas.openxmlformats.org/officeDocument/2006/customXml" ds:itemID="{E43B81AB-263F-449E-BB11-3A1AAB66F976}"/>
</file>

<file path=customXml/itemProps3.xml><?xml version="1.0" encoding="utf-8"?>
<ds:datastoreItem xmlns:ds="http://schemas.openxmlformats.org/officeDocument/2006/customXml" ds:itemID="{59B0D2C0-FE5C-47F6-AF84-7A64F8337EF2}"/>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2026-08-30T21:38:00Z</dcterms:created>
  <dcterms:modified xsi:type="dcterms:W3CDTF">2026-08-30T21:40:00Z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