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C2EDC" w14:textId="77777777" w:rsidR="001B45A0" w:rsidRPr="001B45A0" w:rsidRDefault="001B45A0" w:rsidP="001B45A0">
      <w:pPr>
        <w:rPr>
          <w:lang w:val="fr-FR"/>
        </w:rPr>
      </w:pPr>
      <w:r w:rsidRPr="001B45A0">
        <w:rPr>
          <w:b/>
          <w:bCs/>
          <w:lang w:val="fr-FR"/>
        </w:rPr>
        <w:t>ÉTUDE DE CAS | TECHNOLOGIE INDUSTRIELLE</w:t>
      </w:r>
    </w:p>
    <w:p w14:paraId="4C2E99F8" w14:textId="77777777" w:rsidR="001B45A0" w:rsidRPr="001B45A0" w:rsidRDefault="001B45A0" w:rsidP="001B45A0">
      <w:pPr>
        <w:rPr>
          <w:lang w:val="fr-FR"/>
        </w:rPr>
      </w:pPr>
      <w:r w:rsidRPr="001B45A0">
        <w:rPr>
          <w:b/>
          <w:bCs/>
          <w:lang w:val="fr-FR"/>
        </w:rPr>
        <w:t>Concevoir un programme logistique multimodal pour batteries lithium-ion dans quatre pays</w:t>
      </w:r>
    </w:p>
    <w:p w14:paraId="32D5963D" w14:textId="77777777" w:rsidR="001B45A0" w:rsidRPr="001B45A0" w:rsidRDefault="001B45A0" w:rsidP="001B45A0">
      <w:pPr>
        <w:rPr>
          <w:lang w:val="fr-FR"/>
        </w:rPr>
      </w:pPr>
      <w:r w:rsidRPr="001B45A0">
        <w:rPr>
          <w:i/>
          <w:iCs/>
          <w:lang w:val="fr-FR"/>
        </w:rPr>
        <w:t>Röhlig a combiné l’étude de faisabilité technique avec une exécution coordonnée par route, air et mer pour un fabricant de batteries lithium-ion.</w:t>
      </w:r>
    </w:p>
    <w:p w14:paraId="46F15F27" w14:textId="77777777" w:rsidR="001B45A0" w:rsidRPr="001B45A0" w:rsidRDefault="001B45A0" w:rsidP="001B45A0">
      <w:pPr>
        <w:rPr>
          <w:lang w:val="fr-FR"/>
        </w:rPr>
      </w:pPr>
      <w:r w:rsidRPr="001B45A0">
        <w:rPr>
          <w:lang w:val="fr-FR"/>
        </w:rPr>
        <w:t>Équipement de système d’alimentation surdimensionné, emballé en caisse et sécurisé sur une remorque routière spécialisée.</w:t>
      </w:r>
    </w:p>
    <w:p w14:paraId="34DC2F77" w14:textId="77777777" w:rsidR="001B45A0" w:rsidRPr="001B45A0" w:rsidRDefault="001B45A0" w:rsidP="001B45A0">
      <w:pPr>
        <w:rPr>
          <w:lang w:val="fr-FR"/>
        </w:rPr>
      </w:pPr>
      <w:r w:rsidRPr="001B45A0">
        <w:rPr>
          <w:i/>
          <w:iCs/>
          <w:lang w:val="fr-FR"/>
        </w:rPr>
        <w:t>Accès spécialisé, chargement et dispositif d’arrimage</w:t>
      </w:r>
    </w:p>
    <w:p w14:paraId="45E9A097" w14:textId="77777777" w:rsidR="001B45A0" w:rsidRDefault="001B45A0" w:rsidP="001B45A0">
      <w:pPr>
        <w:rPr>
          <w:b/>
          <w:bCs/>
          <w:lang w:val="fr-FR"/>
        </w:rPr>
      </w:pPr>
    </w:p>
    <w:p w14:paraId="7E15A8F7" w14:textId="0CCA3F43" w:rsidR="001B45A0" w:rsidRPr="001B45A0" w:rsidRDefault="001B45A0" w:rsidP="001B45A0">
      <w:pPr>
        <w:rPr>
          <w:lang w:val="fr-FR"/>
        </w:rPr>
      </w:pPr>
      <w:r w:rsidRPr="001B45A0">
        <w:rPr>
          <w:b/>
          <w:bCs/>
          <w:lang w:val="fr-FR"/>
        </w:rPr>
        <w:t xml:space="preserve">Meta </w:t>
      </w:r>
      <w:proofErr w:type="spellStart"/>
      <w:r w:rsidRPr="001B45A0">
        <w:rPr>
          <w:b/>
          <w:bCs/>
          <w:lang w:val="fr-FR"/>
        </w:rPr>
        <w:t>Title</w:t>
      </w:r>
      <w:proofErr w:type="spellEnd"/>
      <w:r w:rsidRPr="001B45A0">
        <w:rPr>
          <w:b/>
          <w:bCs/>
          <w:lang w:val="fr-FR"/>
        </w:rPr>
        <w:t>:</w:t>
      </w:r>
      <w:r w:rsidRPr="001B45A0">
        <w:rPr>
          <w:lang w:val="fr-FR"/>
        </w:rPr>
        <w:t xml:space="preserve"> Logistique multimodale pour batteries lithium-ion | Röhlig </w:t>
      </w:r>
      <w:proofErr w:type="spellStart"/>
      <w:r w:rsidRPr="001B45A0">
        <w:rPr>
          <w:lang w:val="fr-FR"/>
        </w:rPr>
        <w:t>Logistics</w:t>
      </w:r>
      <w:proofErr w:type="spellEnd"/>
    </w:p>
    <w:p w14:paraId="2000098A" w14:textId="77777777" w:rsidR="001B45A0" w:rsidRPr="001B45A0" w:rsidRDefault="001B45A0" w:rsidP="001B45A0">
      <w:pPr>
        <w:rPr>
          <w:lang w:val="fr-FR"/>
        </w:rPr>
      </w:pPr>
      <w:r w:rsidRPr="001B45A0">
        <w:rPr>
          <w:b/>
          <w:bCs/>
          <w:lang w:val="fr-FR"/>
        </w:rPr>
        <w:t>Meta Description:</w:t>
      </w:r>
      <w:r w:rsidRPr="001B45A0">
        <w:rPr>
          <w:lang w:val="fr-FR"/>
        </w:rPr>
        <w:t xml:space="preserve"> Découvrez comment Röhlig a repensé la manutention d’équipements lithium-ion surdimensionnés et coordonné la logistique routière, aérienne et maritime dans quatre pays.</w:t>
      </w:r>
    </w:p>
    <w:p w14:paraId="3C7AA5B6" w14:textId="77777777" w:rsidR="001B45A0" w:rsidRPr="001B45A0" w:rsidRDefault="001B45A0" w:rsidP="001B45A0">
      <w:pPr>
        <w:rPr>
          <w:lang w:val="fr-FR"/>
        </w:rPr>
      </w:pPr>
      <w:r w:rsidRPr="001B45A0">
        <w:rPr>
          <w:b/>
          <w:bCs/>
          <w:lang w:val="fr-FR"/>
        </w:rPr>
        <w:t>Un mouvement routier complexe est devenu la base d’un programme logistique international plus large.</w:t>
      </w:r>
      <w:r w:rsidRPr="001B45A0">
        <w:rPr>
          <w:lang w:val="fr-FR"/>
        </w:rPr>
        <w:t xml:space="preserve"> Après avoir examiné le concept de manutention pour des équipements lithium-ion surdimensionnés, Röhlig a recommandé une solution flat-rack avec manutention par grue à la place de la méthode initialement proposée avec </w:t>
      </w:r>
      <w:proofErr w:type="spellStart"/>
      <w:r w:rsidRPr="001B45A0">
        <w:rPr>
          <w:lang w:val="fr-FR"/>
        </w:rPr>
        <w:t>reefer</w:t>
      </w:r>
      <w:proofErr w:type="spellEnd"/>
      <w:r w:rsidRPr="001B45A0">
        <w:rPr>
          <w:lang w:val="fr-FR"/>
        </w:rPr>
        <w:t xml:space="preserve"> et slip-</w:t>
      </w:r>
      <w:proofErr w:type="spellStart"/>
      <w:r w:rsidRPr="001B45A0">
        <w:rPr>
          <w:lang w:val="fr-FR"/>
        </w:rPr>
        <w:t>sheet</w:t>
      </w:r>
      <w:proofErr w:type="spellEnd"/>
      <w:r w:rsidRPr="001B45A0">
        <w:rPr>
          <w:lang w:val="fr-FR"/>
        </w:rPr>
        <w:t>. L’équipe a ensuite aligné les fournisseurs spécialisés et les équipes Röhlig au Royaume-Uni, en Allemagne, en Australie et au Canada autour d’un même plan opérationnel.</w:t>
      </w:r>
    </w:p>
    <w:p w14:paraId="7C19E04C" w14:textId="77777777" w:rsidR="001B45A0" w:rsidRDefault="001B45A0" w:rsidP="001B45A0">
      <w:pPr>
        <w:rPr>
          <w:b/>
          <w:bCs/>
        </w:rPr>
      </w:pPr>
    </w:p>
    <w:p w14:paraId="483401E5" w14:textId="2EC2A3FD" w:rsidR="001B45A0" w:rsidRPr="001B45A0" w:rsidRDefault="001B45A0" w:rsidP="001B45A0">
      <w:r w:rsidRPr="001B45A0">
        <w:rPr>
          <w:b/>
          <w:bCs/>
        </w:rPr>
        <w:t xml:space="preserve">Points </w:t>
      </w:r>
      <w:proofErr w:type="spellStart"/>
      <w:r w:rsidRPr="001B45A0">
        <w:rPr>
          <w:b/>
          <w:bCs/>
        </w:rPr>
        <w:t>clés</w:t>
      </w:r>
      <w:proofErr w:type="spellEnd"/>
      <w:r w:rsidRPr="001B45A0">
        <w:rPr>
          <w:b/>
          <w:bCs/>
        </w:rPr>
        <w:t xml:space="preserve"> du </w:t>
      </w:r>
      <w:proofErr w:type="spellStart"/>
      <w:r w:rsidRPr="001B45A0">
        <w:rPr>
          <w:b/>
          <w:bCs/>
        </w:rPr>
        <w:t>projet</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6784"/>
      </w:tblGrid>
      <w:tr w:rsidR="001B45A0" w:rsidRPr="001B45A0" w14:paraId="4B74FFA1" w14:textId="77777777" w:rsidTr="001B45A0">
        <w:trPr>
          <w:tblHeader/>
          <w:tblCellSpacing w:w="15" w:type="dxa"/>
        </w:trPr>
        <w:tc>
          <w:tcPr>
            <w:tcW w:w="0" w:type="auto"/>
            <w:vAlign w:val="center"/>
            <w:hideMark/>
          </w:tcPr>
          <w:p w14:paraId="0E3992AC" w14:textId="77777777" w:rsidR="001B45A0" w:rsidRPr="001B45A0" w:rsidRDefault="001B45A0" w:rsidP="001B45A0">
            <w:pPr>
              <w:rPr>
                <w:b/>
                <w:bCs/>
              </w:rPr>
            </w:pPr>
            <w:proofErr w:type="spellStart"/>
            <w:r w:rsidRPr="001B45A0">
              <w:rPr>
                <w:b/>
                <w:bCs/>
              </w:rPr>
              <w:t>Catégorie</w:t>
            </w:r>
            <w:proofErr w:type="spellEnd"/>
          </w:p>
        </w:tc>
        <w:tc>
          <w:tcPr>
            <w:tcW w:w="0" w:type="auto"/>
            <w:vAlign w:val="center"/>
            <w:hideMark/>
          </w:tcPr>
          <w:p w14:paraId="51BC9A37" w14:textId="77777777" w:rsidR="001B45A0" w:rsidRPr="001B45A0" w:rsidRDefault="001B45A0" w:rsidP="001B45A0">
            <w:pPr>
              <w:rPr>
                <w:b/>
                <w:bCs/>
              </w:rPr>
            </w:pPr>
            <w:proofErr w:type="spellStart"/>
            <w:r w:rsidRPr="001B45A0">
              <w:rPr>
                <w:b/>
                <w:bCs/>
              </w:rPr>
              <w:t>Détails</w:t>
            </w:r>
            <w:proofErr w:type="spellEnd"/>
          </w:p>
        </w:tc>
      </w:tr>
      <w:tr w:rsidR="001B45A0" w:rsidRPr="001B45A0" w14:paraId="6EADE11F" w14:textId="77777777" w:rsidTr="001B45A0">
        <w:trPr>
          <w:tblCellSpacing w:w="15" w:type="dxa"/>
        </w:trPr>
        <w:tc>
          <w:tcPr>
            <w:tcW w:w="0" w:type="auto"/>
            <w:vAlign w:val="center"/>
            <w:hideMark/>
          </w:tcPr>
          <w:p w14:paraId="627FA08C" w14:textId="77777777" w:rsidR="001B45A0" w:rsidRPr="001B45A0" w:rsidRDefault="001B45A0" w:rsidP="001B45A0">
            <w:proofErr w:type="spellStart"/>
            <w:r w:rsidRPr="001B45A0">
              <w:t>Secteur</w:t>
            </w:r>
            <w:proofErr w:type="spellEnd"/>
            <w:r w:rsidRPr="001B45A0">
              <w:t xml:space="preserve"> du client</w:t>
            </w:r>
          </w:p>
        </w:tc>
        <w:tc>
          <w:tcPr>
            <w:tcW w:w="0" w:type="auto"/>
            <w:vAlign w:val="center"/>
            <w:hideMark/>
          </w:tcPr>
          <w:p w14:paraId="553F0BA0" w14:textId="77777777" w:rsidR="001B45A0" w:rsidRPr="001B45A0" w:rsidRDefault="001B45A0" w:rsidP="001B45A0">
            <w:r w:rsidRPr="001B45A0">
              <w:t xml:space="preserve">Technologie </w:t>
            </w:r>
            <w:proofErr w:type="spellStart"/>
            <w:r w:rsidRPr="001B45A0">
              <w:t>industrielle</w:t>
            </w:r>
            <w:proofErr w:type="spellEnd"/>
            <w:r w:rsidRPr="001B45A0">
              <w:t xml:space="preserve"> / batteries lithium-ion</w:t>
            </w:r>
          </w:p>
        </w:tc>
      </w:tr>
      <w:tr w:rsidR="001B45A0" w:rsidRPr="001B45A0" w14:paraId="3152689E" w14:textId="77777777" w:rsidTr="001B45A0">
        <w:trPr>
          <w:tblCellSpacing w:w="15" w:type="dxa"/>
        </w:trPr>
        <w:tc>
          <w:tcPr>
            <w:tcW w:w="0" w:type="auto"/>
            <w:vAlign w:val="center"/>
            <w:hideMark/>
          </w:tcPr>
          <w:p w14:paraId="1FA266F6" w14:textId="77777777" w:rsidR="001B45A0" w:rsidRPr="001B45A0" w:rsidRDefault="001B45A0" w:rsidP="001B45A0">
            <w:r w:rsidRPr="001B45A0">
              <w:t>Origine</w:t>
            </w:r>
          </w:p>
        </w:tc>
        <w:tc>
          <w:tcPr>
            <w:tcW w:w="0" w:type="auto"/>
            <w:vAlign w:val="center"/>
            <w:hideMark/>
          </w:tcPr>
          <w:p w14:paraId="3454B938" w14:textId="77777777" w:rsidR="001B45A0" w:rsidRPr="001B45A0" w:rsidRDefault="001B45A0" w:rsidP="001B45A0">
            <w:proofErr w:type="spellStart"/>
            <w:r w:rsidRPr="001B45A0">
              <w:t>Royaume</w:t>
            </w:r>
            <w:proofErr w:type="spellEnd"/>
            <w:r w:rsidRPr="001B45A0">
              <w:t xml:space="preserve">-Uni ; </w:t>
            </w:r>
            <w:proofErr w:type="spellStart"/>
            <w:r w:rsidRPr="001B45A0">
              <w:t>Australie</w:t>
            </w:r>
            <w:proofErr w:type="spellEnd"/>
          </w:p>
        </w:tc>
      </w:tr>
      <w:tr w:rsidR="001B45A0" w:rsidRPr="001B45A0" w14:paraId="097B06EF" w14:textId="77777777" w:rsidTr="001B45A0">
        <w:trPr>
          <w:tblCellSpacing w:w="15" w:type="dxa"/>
        </w:trPr>
        <w:tc>
          <w:tcPr>
            <w:tcW w:w="0" w:type="auto"/>
            <w:vAlign w:val="center"/>
            <w:hideMark/>
          </w:tcPr>
          <w:p w14:paraId="418455FB" w14:textId="77777777" w:rsidR="001B45A0" w:rsidRPr="001B45A0" w:rsidRDefault="001B45A0" w:rsidP="001B45A0">
            <w:r w:rsidRPr="001B45A0">
              <w:t>Destination</w:t>
            </w:r>
          </w:p>
        </w:tc>
        <w:tc>
          <w:tcPr>
            <w:tcW w:w="0" w:type="auto"/>
            <w:vAlign w:val="center"/>
            <w:hideMark/>
          </w:tcPr>
          <w:p w14:paraId="0CE35D32" w14:textId="77777777" w:rsidR="001B45A0" w:rsidRPr="001B45A0" w:rsidRDefault="001B45A0" w:rsidP="001B45A0">
            <w:proofErr w:type="spellStart"/>
            <w:r w:rsidRPr="001B45A0">
              <w:t>Allemagne</w:t>
            </w:r>
            <w:proofErr w:type="spellEnd"/>
            <w:r w:rsidRPr="001B45A0">
              <w:t xml:space="preserve"> ; </w:t>
            </w:r>
            <w:proofErr w:type="spellStart"/>
            <w:r w:rsidRPr="001B45A0">
              <w:t>Royaume</w:t>
            </w:r>
            <w:proofErr w:type="spellEnd"/>
            <w:r w:rsidRPr="001B45A0">
              <w:t>-Uni ; Canada</w:t>
            </w:r>
          </w:p>
        </w:tc>
      </w:tr>
      <w:tr w:rsidR="001B45A0" w:rsidRPr="001B45A0" w14:paraId="7B73A20E" w14:textId="77777777" w:rsidTr="001B45A0">
        <w:trPr>
          <w:tblCellSpacing w:w="15" w:type="dxa"/>
        </w:trPr>
        <w:tc>
          <w:tcPr>
            <w:tcW w:w="0" w:type="auto"/>
            <w:vAlign w:val="center"/>
            <w:hideMark/>
          </w:tcPr>
          <w:p w14:paraId="4FC5A20A" w14:textId="77777777" w:rsidR="001B45A0" w:rsidRPr="001B45A0" w:rsidRDefault="001B45A0" w:rsidP="001B45A0">
            <w:r w:rsidRPr="001B45A0">
              <w:t>Modes de transport</w:t>
            </w:r>
          </w:p>
        </w:tc>
        <w:tc>
          <w:tcPr>
            <w:tcW w:w="0" w:type="auto"/>
            <w:vAlign w:val="center"/>
            <w:hideMark/>
          </w:tcPr>
          <w:p w14:paraId="6BE641B5" w14:textId="77777777" w:rsidR="001B45A0" w:rsidRPr="001B45A0" w:rsidRDefault="001B45A0" w:rsidP="001B45A0">
            <w:r w:rsidRPr="001B45A0">
              <w:t xml:space="preserve">Transport </w:t>
            </w:r>
            <w:proofErr w:type="spellStart"/>
            <w:r w:rsidRPr="001B45A0">
              <w:t>routier</w:t>
            </w:r>
            <w:proofErr w:type="spellEnd"/>
            <w:r w:rsidRPr="001B45A0">
              <w:t xml:space="preserve">, fret </w:t>
            </w:r>
            <w:proofErr w:type="spellStart"/>
            <w:r w:rsidRPr="001B45A0">
              <w:t>aérien</w:t>
            </w:r>
            <w:proofErr w:type="spellEnd"/>
            <w:r w:rsidRPr="001B45A0">
              <w:t xml:space="preserve"> et fret maritime</w:t>
            </w:r>
          </w:p>
        </w:tc>
      </w:tr>
      <w:tr w:rsidR="001B45A0" w:rsidRPr="001B45A0" w14:paraId="44FCBB76" w14:textId="77777777" w:rsidTr="001B45A0">
        <w:trPr>
          <w:tblCellSpacing w:w="15" w:type="dxa"/>
        </w:trPr>
        <w:tc>
          <w:tcPr>
            <w:tcW w:w="0" w:type="auto"/>
            <w:vAlign w:val="center"/>
            <w:hideMark/>
          </w:tcPr>
          <w:p w14:paraId="1E1CE31B" w14:textId="77777777" w:rsidR="001B45A0" w:rsidRPr="001B45A0" w:rsidRDefault="001B45A0" w:rsidP="001B45A0">
            <w:r w:rsidRPr="001B45A0">
              <w:t xml:space="preserve">Équipes </w:t>
            </w:r>
            <w:proofErr w:type="spellStart"/>
            <w:r w:rsidRPr="001B45A0">
              <w:t>impliquées</w:t>
            </w:r>
            <w:proofErr w:type="spellEnd"/>
          </w:p>
        </w:tc>
        <w:tc>
          <w:tcPr>
            <w:tcW w:w="0" w:type="auto"/>
            <w:vAlign w:val="center"/>
            <w:hideMark/>
          </w:tcPr>
          <w:p w14:paraId="55414B90" w14:textId="77777777" w:rsidR="001B45A0" w:rsidRPr="001B45A0" w:rsidRDefault="001B45A0" w:rsidP="001B45A0">
            <w:pPr>
              <w:rPr>
                <w:lang w:val="fr-FR"/>
              </w:rPr>
            </w:pPr>
            <w:r w:rsidRPr="001B45A0">
              <w:rPr>
                <w:lang w:val="fr-FR"/>
              </w:rPr>
              <w:t>Royaume-Uni, Allemagne, Australie et Canada</w:t>
            </w:r>
          </w:p>
        </w:tc>
      </w:tr>
      <w:tr w:rsidR="001B45A0" w:rsidRPr="001B45A0" w14:paraId="1777EC18" w14:textId="77777777" w:rsidTr="001B45A0">
        <w:trPr>
          <w:tblCellSpacing w:w="15" w:type="dxa"/>
        </w:trPr>
        <w:tc>
          <w:tcPr>
            <w:tcW w:w="0" w:type="auto"/>
            <w:vAlign w:val="center"/>
            <w:hideMark/>
          </w:tcPr>
          <w:p w14:paraId="2EB08A24" w14:textId="77777777" w:rsidR="001B45A0" w:rsidRPr="001B45A0" w:rsidRDefault="001B45A0" w:rsidP="001B45A0">
            <w:r w:rsidRPr="001B45A0">
              <w:t xml:space="preserve">Services </w:t>
            </w:r>
            <w:proofErr w:type="spellStart"/>
            <w:r w:rsidRPr="001B45A0">
              <w:t>complémentaires</w:t>
            </w:r>
            <w:proofErr w:type="spellEnd"/>
          </w:p>
        </w:tc>
        <w:tc>
          <w:tcPr>
            <w:tcW w:w="0" w:type="auto"/>
            <w:vAlign w:val="center"/>
            <w:hideMark/>
          </w:tcPr>
          <w:p w14:paraId="45B04C9D" w14:textId="77777777" w:rsidR="001B45A0" w:rsidRPr="001B45A0" w:rsidRDefault="001B45A0" w:rsidP="001B45A0">
            <w:pPr>
              <w:rPr>
                <w:lang w:val="fr-FR"/>
              </w:rPr>
            </w:pPr>
            <w:r w:rsidRPr="001B45A0">
              <w:rPr>
                <w:lang w:val="fr-FR"/>
              </w:rPr>
              <w:t xml:space="preserve">Étude de faisabilité, </w:t>
            </w:r>
            <w:proofErr w:type="spellStart"/>
            <w:r w:rsidRPr="001B45A0">
              <w:rPr>
                <w:lang w:val="fr-FR"/>
              </w:rPr>
              <w:t>onboarding</w:t>
            </w:r>
            <w:proofErr w:type="spellEnd"/>
            <w:r w:rsidRPr="001B45A0">
              <w:rPr>
                <w:lang w:val="fr-FR"/>
              </w:rPr>
              <w:t>, coordination de l’emballage, manutention par grue, arrimage, supervision sur site et suivi des expéditions</w:t>
            </w:r>
          </w:p>
        </w:tc>
      </w:tr>
      <w:tr w:rsidR="001B45A0" w:rsidRPr="001B45A0" w14:paraId="12EDFEA2" w14:textId="77777777" w:rsidTr="001B45A0">
        <w:trPr>
          <w:tblCellSpacing w:w="15" w:type="dxa"/>
        </w:trPr>
        <w:tc>
          <w:tcPr>
            <w:tcW w:w="0" w:type="auto"/>
            <w:vAlign w:val="center"/>
            <w:hideMark/>
          </w:tcPr>
          <w:p w14:paraId="6EA90C03" w14:textId="77777777" w:rsidR="001B45A0" w:rsidRPr="001B45A0" w:rsidRDefault="001B45A0" w:rsidP="001B45A0">
            <w:proofErr w:type="spellStart"/>
            <w:r w:rsidRPr="001B45A0">
              <w:t>Cargaison</w:t>
            </w:r>
            <w:proofErr w:type="spellEnd"/>
          </w:p>
        </w:tc>
        <w:tc>
          <w:tcPr>
            <w:tcW w:w="0" w:type="auto"/>
            <w:vAlign w:val="center"/>
            <w:hideMark/>
          </w:tcPr>
          <w:p w14:paraId="663ED13D" w14:textId="77777777" w:rsidR="001B45A0" w:rsidRPr="001B45A0" w:rsidRDefault="001B45A0" w:rsidP="001B45A0">
            <w:pPr>
              <w:rPr>
                <w:lang w:val="fr-FR"/>
              </w:rPr>
            </w:pPr>
            <w:r w:rsidRPr="001B45A0">
              <w:rPr>
                <w:lang w:val="fr-FR"/>
              </w:rPr>
              <w:t>Pack batterie et composants de système d’alimentation</w:t>
            </w:r>
          </w:p>
        </w:tc>
      </w:tr>
      <w:tr w:rsidR="001B45A0" w:rsidRPr="001B45A0" w14:paraId="2584E7BA" w14:textId="77777777" w:rsidTr="001B45A0">
        <w:trPr>
          <w:tblCellSpacing w:w="15" w:type="dxa"/>
        </w:trPr>
        <w:tc>
          <w:tcPr>
            <w:tcW w:w="0" w:type="auto"/>
            <w:vAlign w:val="center"/>
            <w:hideMark/>
          </w:tcPr>
          <w:p w14:paraId="4F4E4ECA" w14:textId="77777777" w:rsidR="001B45A0" w:rsidRPr="001B45A0" w:rsidRDefault="001B45A0" w:rsidP="001B45A0">
            <w:proofErr w:type="spellStart"/>
            <w:r w:rsidRPr="001B45A0">
              <w:t>Poids</w:t>
            </w:r>
            <w:proofErr w:type="spellEnd"/>
            <w:r w:rsidRPr="001B45A0">
              <w:t xml:space="preserve"> </w:t>
            </w:r>
            <w:proofErr w:type="spellStart"/>
            <w:r w:rsidRPr="001B45A0">
              <w:t>confirmés</w:t>
            </w:r>
            <w:proofErr w:type="spellEnd"/>
          </w:p>
        </w:tc>
        <w:tc>
          <w:tcPr>
            <w:tcW w:w="0" w:type="auto"/>
            <w:vAlign w:val="center"/>
            <w:hideMark/>
          </w:tcPr>
          <w:p w14:paraId="0A316F3B" w14:textId="77777777" w:rsidR="001B45A0" w:rsidRPr="001B45A0" w:rsidRDefault="001B45A0" w:rsidP="001B45A0">
            <w:pPr>
              <w:rPr>
                <w:lang w:val="fr-FR"/>
              </w:rPr>
            </w:pPr>
            <w:r w:rsidRPr="001B45A0">
              <w:rPr>
                <w:lang w:val="fr-FR"/>
              </w:rPr>
              <w:t>Import aérien : 1 158 kg ; unités maritimes : unité principale de 7,7 t plus caisse de support de 400 kg</w:t>
            </w:r>
          </w:p>
        </w:tc>
      </w:tr>
      <w:tr w:rsidR="001B45A0" w:rsidRPr="001B45A0" w14:paraId="623BA3B6" w14:textId="77777777" w:rsidTr="001B45A0">
        <w:trPr>
          <w:tblCellSpacing w:w="15" w:type="dxa"/>
        </w:trPr>
        <w:tc>
          <w:tcPr>
            <w:tcW w:w="0" w:type="auto"/>
            <w:vAlign w:val="center"/>
            <w:hideMark/>
          </w:tcPr>
          <w:p w14:paraId="76BA945F" w14:textId="77777777" w:rsidR="001B45A0" w:rsidRPr="001B45A0" w:rsidRDefault="001B45A0" w:rsidP="001B45A0">
            <w:r w:rsidRPr="001B45A0">
              <w:t xml:space="preserve">Dimensions de </w:t>
            </w:r>
            <w:proofErr w:type="spellStart"/>
            <w:r w:rsidRPr="001B45A0">
              <w:t>l’unité</w:t>
            </w:r>
            <w:proofErr w:type="spellEnd"/>
            <w:r w:rsidRPr="001B45A0">
              <w:t xml:space="preserve"> </w:t>
            </w:r>
            <w:proofErr w:type="spellStart"/>
            <w:r w:rsidRPr="001B45A0">
              <w:t>principale</w:t>
            </w:r>
            <w:proofErr w:type="spellEnd"/>
          </w:p>
        </w:tc>
        <w:tc>
          <w:tcPr>
            <w:tcW w:w="0" w:type="auto"/>
            <w:vAlign w:val="center"/>
            <w:hideMark/>
          </w:tcPr>
          <w:p w14:paraId="6EDAFD7D" w14:textId="77777777" w:rsidR="001B45A0" w:rsidRPr="001B45A0" w:rsidRDefault="001B45A0" w:rsidP="001B45A0">
            <w:r w:rsidRPr="001B45A0">
              <w:t>Environ 4,4 m × 2,0 m × 2,9 m</w:t>
            </w:r>
          </w:p>
        </w:tc>
      </w:tr>
    </w:tbl>
    <w:p w14:paraId="3A822A4C" w14:textId="77777777" w:rsidR="001B45A0" w:rsidRDefault="001B45A0" w:rsidP="001B45A0">
      <w:pPr>
        <w:rPr>
          <w:b/>
          <w:bCs/>
        </w:rPr>
      </w:pPr>
    </w:p>
    <w:p w14:paraId="25046E56" w14:textId="07BEB714" w:rsidR="001B45A0" w:rsidRPr="001B45A0" w:rsidRDefault="001B45A0" w:rsidP="001B45A0">
      <w:r w:rsidRPr="001B45A0">
        <w:rPr>
          <w:b/>
          <w:bCs/>
        </w:rPr>
        <w:t xml:space="preserve">Aperçu du </w:t>
      </w:r>
      <w:proofErr w:type="spellStart"/>
      <w:r w:rsidRPr="001B45A0">
        <w:rPr>
          <w:b/>
          <w:bCs/>
        </w:rPr>
        <w:t>projet</w:t>
      </w:r>
      <w:proofErr w:type="spellEnd"/>
    </w:p>
    <w:p w14:paraId="36099E54" w14:textId="77777777" w:rsidR="001B45A0" w:rsidRPr="001B45A0" w:rsidRDefault="001B45A0" w:rsidP="001B45A0">
      <w:pPr>
        <w:rPr>
          <w:lang w:val="fr-FR"/>
        </w:rPr>
      </w:pPr>
      <w:r w:rsidRPr="001B45A0">
        <w:rPr>
          <w:lang w:val="fr-FR"/>
        </w:rPr>
        <w:t>Le fabricant avait besoin d’une méthode opérationnelle pour des équipements de système d’alimentation surdimensionnés, un chargement spécialisé et plusieurs modes de transport internationaux. La mission initiale portait sur un transport routier du Royaume-Uni vers l’Allemagne. Le périmètre s’est ensuite élargi à un import aérien de 1 158 kg de l’Australie vers le Royaume-Uni, ainsi qu’à des unités maritimes du Royaume-Uni vers le Canada.</w:t>
      </w:r>
    </w:p>
    <w:p w14:paraId="2A0BC220" w14:textId="77777777" w:rsidR="001B45A0" w:rsidRPr="001B45A0" w:rsidRDefault="001B45A0" w:rsidP="001B45A0">
      <w:pPr>
        <w:rPr>
          <w:lang w:val="fr-FR"/>
        </w:rPr>
      </w:pPr>
      <w:r w:rsidRPr="001B45A0">
        <w:rPr>
          <w:lang w:val="fr-FR"/>
        </w:rPr>
        <w:t xml:space="preserve">Röhlig a relié les décisions techniques de manutention, la préparation des fournisseurs, les équipes pays et la visibilité des expéditions au sein d’un seul plan opérationnel, en s’appuyant sur ses capacités en </w:t>
      </w:r>
      <w:hyperlink r:id="rId5" w:tgtFrame="_new" w:history="1">
        <w:r w:rsidRPr="001B45A0">
          <w:rPr>
            <w:rStyle w:val="Hyperlink"/>
            <w:lang w:val="fr-FR"/>
          </w:rPr>
          <w:t xml:space="preserve">Project </w:t>
        </w:r>
        <w:proofErr w:type="spellStart"/>
        <w:r w:rsidRPr="001B45A0">
          <w:rPr>
            <w:rStyle w:val="Hyperlink"/>
            <w:lang w:val="fr-FR"/>
          </w:rPr>
          <w:t>Logistics</w:t>
        </w:r>
        <w:proofErr w:type="spellEnd"/>
      </w:hyperlink>
      <w:r w:rsidRPr="001B45A0">
        <w:rPr>
          <w:lang w:val="fr-FR"/>
        </w:rPr>
        <w:t xml:space="preserve"> et en </w:t>
      </w:r>
      <w:hyperlink r:id="rId6" w:tgtFrame="_new" w:history="1">
        <w:r w:rsidRPr="001B45A0">
          <w:rPr>
            <w:rStyle w:val="Hyperlink"/>
            <w:lang w:val="fr-FR"/>
          </w:rPr>
          <w:t>logistique des énergies renouvelables</w:t>
        </w:r>
      </w:hyperlink>
      <w:r w:rsidRPr="001B45A0">
        <w:rPr>
          <w:lang w:val="fr-FR"/>
        </w:rPr>
        <w:t>.</w:t>
      </w:r>
    </w:p>
    <w:p w14:paraId="67EAB615" w14:textId="77777777" w:rsidR="001B45A0" w:rsidRDefault="001B45A0" w:rsidP="001B45A0">
      <w:pPr>
        <w:rPr>
          <w:b/>
          <w:bCs/>
          <w:lang w:val="fr-FR"/>
        </w:rPr>
      </w:pPr>
    </w:p>
    <w:p w14:paraId="202315A7" w14:textId="2E9D69A5" w:rsidR="001B45A0" w:rsidRPr="001B45A0" w:rsidRDefault="001B45A0" w:rsidP="001B45A0">
      <w:pPr>
        <w:rPr>
          <w:lang w:val="fr-FR"/>
        </w:rPr>
      </w:pPr>
      <w:r w:rsidRPr="001B45A0">
        <w:rPr>
          <w:b/>
          <w:bCs/>
          <w:lang w:val="fr-FR"/>
        </w:rPr>
        <w:t>Le défi</w:t>
      </w:r>
    </w:p>
    <w:p w14:paraId="7D025AD7" w14:textId="77777777" w:rsidR="001B45A0" w:rsidRPr="001B45A0" w:rsidRDefault="001B45A0" w:rsidP="001B45A0">
      <w:pPr>
        <w:rPr>
          <w:lang w:val="fr-FR"/>
        </w:rPr>
      </w:pPr>
      <w:r w:rsidRPr="001B45A0">
        <w:rPr>
          <w:lang w:val="fr-FR"/>
        </w:rPr>
        <w:t>La complexité se situait à l’interface entre l’ingénierie et le transport : équipements surdimensionnés, accès spécialisé et proposition initiale de manutention à tester avant exécution.</w:t>
      </w:r>
    </w:p>
    <w:p w14:paraId="5E63ECA1" w14:textId="77777777" w:rsidR="001B45A0" w:rsidRPr="001B45A0" w:rsidRDefault="001B45A0" w:rsidP="001B45A0">
      <w:pPr>
        <w:numPr>
          <w:ilvl w:val="0"/>
          <w:numId w:val="1"/>
        </w:numPr>
        <w:rPr>
          <w:lang w:val="fr-FR"/>
        </w:rPr>
      </w:pPr>
      <w:r w:rsidRPr="001B45A0">
        <w:rPr>
          <w:lang w:val="fr-FR"/>
        </w:rPr>
        <w:t xml:space="preserve">La méthode proposée avec </w:t>
      </w:r>
      <w:proofErr w:type="spellStart"/>
      <w:r w:rsidRPr="001B45A0">
        <w:rPr>
          <w:lang w:val="fr-FR"/>
        </w:rPr>
        <w:t>reefer</w:t>
      </w:r>
      <w:proofErr w:type="spellEnd"/>
      <w:r w:rsidRPr="001B45A0">
        <w:rPr>
          <w:lang w:val="fr-FR"/>
        </w:rPr>
        <w:t xml:space="preserve"> et slip-</w:t>
      </w:r>
      <w:proofErr w:type="spellStart"/>
      <w:r w:rsidRPr="001B45A0">
        <w:rPr>
          <w:lang w:val="fr-FR"/>
        </w:rPr>
        <w:t>sheet</w:t>
      </w:r>
      <w:proofErr w:type="spellEnd"/>
      <w:r w:rsidRPr="001B45A0">
        <w:rPr>
          <w:lang w:val="fr-FR"/>
        </w:rPr>
        <w:t xml:space="preserve"> introduisait une complexité de manutention évitable et un risque opérationnel pour les équipements surdimensionnés. </w:t>
      </w:r>
    </w:p>
    <w:p w14:paraId="3A79C683" w14:textId="77777777" w:rsidR="001B45A0" w:rsidRPr="001B45A0" w:rsidRDefault="001B45A0" w:rsidP="001B45A0">
      <w:pPr>
        <w:numPr>
          <w:ilvl w:val="0"/>
          <w:numId w:val="1"/>
        </w:numPr>
        <w:rPr>
          <w:lang w:val="fr-FR"/>
        </w:rPr>
      </w:pPr>
      <w:r w:rsidRPr="001B45A0">
        <w:rPr>
          <w:lang w:val="fr-FR"/>
        </w:rPr>
        <w:t xml:space="preserve">L’emballage, les opérations de grutage, l’arrimage, le transport routier et la manutention à destination devaient être coordonnés comme une seule séquence, et non comme des réservations séparées. </w:t>
      </w:r>
    </w:p>
    <w:p w14:paraId="6CC16A40" w14:textId="77777777" w:rsidR="001B45A0" w:rsidRPr="001B45A0" w:rsidRDefault="001B45A0" w:rsidP="001B45A0">
      <w:pPr>
        <w:numPr>
          <w:ilvl w:val="0"/>
          <w:numId w:val="1"/>
        </w:numPr>
        <w:rPr>
          <w:lang w:val="fr-FR"/>
        </w:rPr>
      </w:pPr>
      <w:r w:rsidRPr="001B45A0">
        <w:rPr>
          <w:lang w:val="fr-FR"/>
        </w:rPr>
        <w:t xml:space="preserve">Les activités dans quatre pays exigeaient un </w:t>
      </w:r>
      <w:proofErr w:type="spellStart"/>
      <w:r w:rsidRPr="001B45A0">
        <w:rPr>
          <w:lang w:val="fr-FR"/>
        </w:rPr>
        <w:t>onboarding</w:t>
      </w:r>
      <w:proofErr w:type="spellEnd"/>
      <w:r w:rsidRPr="001B45A0">
        <w:rPr>
          <w:lang w:val="fr-FR"/>
        </w:rPr>
        <w:t xml:space="preserve"> cohérent, des transferts structurés et une visibilité claire, avec une distinction nette entre les opérations réalisées et confirmées. </w:t>
      </w:r>
    </w:p>
    <w:p w14:paraId="7ADC65D7" w14:textId="77777777" w:rsidR="001B45A0" w:rsidRDefault="001B45A0" w:rsidP="001B45A0">
      <w:pPr>
        <w:rPr>
          <w:b/>
          <w:bCs/>
          <w:lang w:val="fr-FR"/>
        </w:rPr>
      </w:pPr>
    </w:p>
    <w:p w14:paraId="53161136" w14:textId="325826FC" w:rsidR="001B45A0" w:rsidRPr="001B45A0" w:rsidRDefault="001B45A0" w:rsidP="001B45A0">
      <w:pPr>
        <w:rPr>
          <w:lang w:val="fr-FR"/>
        </w:rPr>
      </w:pPr>
      <w:r w:rsidRPr="001B45A0">
        <w:rPr>
          <w:b/>
          <w:bCs/>
          <w:lang w:val="fr-FR"/>
        </w:rPr>
        <w:t>La solution</w:t>
      </w:r>
    </w:p>
    <w:p w14:paraId="109F171E" w14:textId="77777777" w:rsidR="001B45A0" w:rsidRPr="001B45A0" w:rsidRDefault="001B45A0" w:rsidP="001B45A0">
      <w:pPr>
        <w:rPr>
          <w:lang w:val="fr-FR"/>
        </w:rPr>
      </w:pPr>
      <w:r w:rsidRPr="001B45A0">
        <w:rPr>
          <w:b/>
          <w:bCs/>
          <w:lang w:val="fr-FR"/>
        </w:rPr>
        <w:t>1. Repenser le concept de manutention</w:t>
      </w:r>
    </w:p>
    <w:p w14:paraId="42468CDA" w14:textId="77777777" w:rsidR="001B45A0" w:rsidRPr="001B45A0" w:rsidRDefault="001B45A0" w:rsidP="001B45A0">
      <w:pPr>
        <w:rPr>
          <w:lang w:val="fr-FR"/>
        </w:rPr>
      </w:pPr>
      <w:r w:rsidRPr="001B45A0">
        <w:rPr>
          <w:lang w:val="fr-FR"/>
        </w:rPr>
        <w:t xml:space="preserve">Röhlig a commencé par une étude de faisabilité portant sur la cargaison, les conditions d’accès et la méthode de chargement proposée. L’équipe a recommandé une manutention sur flat-rack avec grue au lieu du concept </w:t>
      </w:r>
      <w:proofErr w:type="spellStart"/>
      <w:r w:rsidRPr="001B45A0">
        <w:rPr>
          <w:lang w:val="fr-FR"/>
        </w:rPr>
        <w:t>reefer</w:t>
      </w:r>
      <w:proofErr w:type="spellEnd"/>
      <w:r w:rsidRPr="001B45A0">
        <w:rPr>
          <w:lang w:val="fr-FR"/>
        </w:rPr>
        <w:t xml:space="preserve"> et slip-</w:t>
      </w:r>
      <w:proofErr w:type="spellStart"/>
      <w:r w:rsidRPr="001B45A0">
        <w:rPr>
          <w:lang w:val="fr-FR"/>
        </w:rPr>
        <w:t>sheet</w:t>
      </w:r>
      <w:proofErr w:type="spellEnd"/>
      <w:r w:rsidRPr="001B45A0">
        <w:rPr>
          <w:lang w:val="fr-FR"/>
        </w:rPr>
        <w:t>. Cela a permis de concevoir le plan de levage et de sécurisation autour des dimensions réelles et de l’environnement opérationnel de la cargaison.</w:t>
      </w:r>
    </w:p>
    <w:p w14:paraId="27964E74" w14:textId="77777777" w:rsidR="001B45A0" w:rsidRPr="001B45A0" w:rsidRDefault="001B45A0" w:rsidP="001B45A0">
      <w:pPr>
        <w:rPr>
          <w:lang w:val="fr-FR"/>
        </w:rPr>
      </w:pPr>
      <w:r w:rsidRPr="001B45A0">
        <w:rPr>
          <w:b/>
          <w:bCs/>
          <w:lang w:val="fr-FR"/>
        </w:rPr>
        <w:t>2. Mobiliser le réseau de spécialistes</w:t>
      </w:r>
    </w:p>
    <w:p w14:paraId="4C4C8804" w14:textId="77777777" w:rsidR="001B45A0" w:rsidRPr="001B45A0" w:rsidRDefault="001B45A0" w:rsidP="001B45A0">
      <w:pPr>
        <w:rPr>
          <w:lang w:val="fr-FR"/>
        </w:rPr>
      </w:pPr>
      <w:r w:rsidRPr="001B45A0">
        <w:rPr>
          <w:lang w:val="fr-FR"/>
        </w:rPr>
        <w:t>Röhlig a coordonné l’entreprise d’emballage, le prestataire de grutage, les spécialistes de l’arrimage, le transporteur routier et l’équipe de destination. Les équipements et fournisseurs ont été alignés avant le chargement, les conditions d’accès et de positionnement ont été testées autour de la cargaison, et plus de dix heures de supervision sur site ont soutenu une exécution maîtrisée.</w:t>
      </w:r>
    </w:p>
    <w:p w14:paraId="2F0ACD0F" w14:textId="77777777" w:rsidR="001B45A0" w:rsidRPr="001B45A0" w:rsidRDefault="001B45A0" w:rsidP="001B45A0">
      <w:pPr>
        <w:rPr>
          <w:lang w:val="fr-FR"/>
        </w:rPr>
      </w:pPr>
      <w:r w:rsidRPr="001B45A0">
        <w:rPr>
          <w:b/>
          <w:bCs/>
          <w:lang w:val="fr-FR"/>
        </w:rPr>
        <w:t>3. Créer un plan opérationnel transfrontalier unique</w:t>
      </w:r>
    </w:p>
    <w:p w14:paraId="4C69767D" w14:textId="77777777" w:rsidR="001B45A0" w:rsidRPr="001B45A0" w:rsidRDefault="001B45A0" w:rsidP="001B45A0">
      <w:pPr>
        <w:rPr>
          <w:lang w:val="fr-FR"/>
        </w:rPr>
      </w:pPr>
      <w:r w:rsidRPr="001B45A0">
        <w:rPr>
          <w:lang w:val="fr-FR"/>
        </w:rPr>
        <w:t xml:space="preserve">Un </w:t>
      </w:r>
      <w:proofErr w:type="spellStart"/>
      <w:r w:rsidRPr="001B45A0">
        <w:rPr>
          <w:lang w:val="fr-FR"/>
        </w:rPr>
        <w:t>onboarding</w:t>
      </w:r>
      <w:proofErr w:type="spellEnd"/>
      <w:r w:rsidRPr="001B45A0">
        <w:rPr>
          <w:lang w:val="fr-FR"/>
        </w:rPr>
        <w:t xml:space="preserve"> structuré et les données historiques de la voie commerciale ont aidé les équipes participantes à travailler à partir d’une vision opérationnelle commune. Le Royaume-Uni et l’Allemagne ont soutenu le transport routier achevé ; l’Australie et le Royaume-Uni ont coordonné l’import aérien confirmé de 1 158 kg ; et le Royaume-Uni et le Canada ont soutenu le périmètre maritime pour l’unité principale de 7,7 t et la caisse de support de 400 kg.</w:t>
      </w:r>
    </w:p>
    <w:p w14:paraId="04F3828A" w14:textId="77777777" w:rsidR="001B45A0" w:rsidRPr="001B45A0" w:rsidRDefault="001B45A0" w:rsidP="001B45A0">
      <w:pPr>
        <w:rPr>
          <w:lang w:val="fr-FR"/>
        </w:rPr>
      </w:pPr>
      <w:r w:rsidRPr="001B45A0">
        <w:rPr>
          <w:b/>
          <w:bCs/>
          <w:lang w:val="fr-FR"/>
        </w:rPr>
        <w:t>4. Adapter chaque expédition au bon mode et aux bons outils de visibilité</w:t>
      </w:r>
    </w:p>
    <w:p w14:paraId="0CE3958B" w14:textId="77777777" w:rsidR="001B45A0" w:rsidRPr="001B45A0" w:rsidRDefault="001B45A0" w:rsidP="001B45A0">
      <w:pPr>
        <w:rPr>
          <w:lang w:val="fr-FR"/>
        </w:rPr>
      </w:pPr>
      <w:r w:rsidRPr="001B45A0">
        <w:rPr>
          <w:lang w:val="fr-FR"/>
        </w:rPr>
        <w:t xml:space="preserve">Le programme a utilisé le transport routier, aérien et maritime selon les exigences de la cargaison et de l’itinéraire. Les services de </w:t>
      </w:r>
      <w:hyperlink r:id="rId7" w:tgtFrame="_new" w:history="1">
        <w:r w:rsidRPr="001B45A0">
          <w:rPr>
            <w:rStyle w:val="Hyperlink"/>
            <w:lang w:val="fr-FR"/>
          </w:rPr>
          <w:t>fret aérien</w:t>
        </w:r>
      </w:hyperlink>
      <w:r w:rsidRPr="001B45A0">
        <w:rPr>
          <w:lang w:val="fr-FR"/>
        </w:rPr>
        <w:t xml:space="preserve"> et de </w:t>
      </w:r>
      <w:hyperlink r:id="rId8" w:tgtFrame="_new" w:history="1">
        <w:r w:rsidRPr="001B45A0">
          <w:rPr>
            <w:rStyle w:val="Hyperlink"/>
            <w:lang w:val="fr-FR"/>
          </w:rPr>
          <w:t>fret maritime</w:t>
        </w:r>
      </w:hyperlink>
      <w:r w:rsidRPr="001B45A0">
        <w:rPr>
          <w:lang w:val="fr-FR"/>
        </w:rPr>
        <w:t xml:space="preserve"> de Röhlig ont été coordonnés avec le plan de manutention du projet, tandis que deux trackers ont apporté une visibilité supplémentaire sur les expéditions.</w:t>
      </w:r>
    </w:p>
    <w:p w14:paraId="35AF58B2" w14:textId="77777777" w:rsidR="001B45A0" w:rsidRDefault="001B45A0" w:rsidP="001B45A0">
      <w:pPr>
        <w:rPr>
          <w:b/>
          <w:bCs/>
          <w:lang w:val="fr-FR"/>
        </w:rPr>
      </w:pPr>
    </w:p>
    <w:p w14:paraId="11ECABD2" w14:textId="743BD034" w:rsidR="001B45A0" w:rsidRPr="001B45A0" w:rsidRDefault="001B45A0" w:rsidP="001B45A0">
      <w:pPr>
        <w:rPr>
          <w:lang w:val="fr-FR"/>
        </w:rPr>
      </w:pPr>
      <w:r w:rsidRPr="001B45A0">
        <w:rPr>
          <w:b/>
          <w:bCs/>
          <w:lang w:val="fr-FR"/>
        </w:rPr>
        <w:t>Le résultat</w:t>
      </w:r>
    </w:p>
    <w:p w14:paraId="3F886537" w14:textId="77777777" w:rsidR="001B45A0" w:rsidRPr="001B45A0" w:rsidRDefault="001B45A0" w:rsidP="001B45A0">
      <w:pPr>
        <w:rPr>
          <w:lang w:val="fr-FR"/>
        </w:rPr>
      </w:pPr>
      <w:r w:rsidRPr="001B45A0">
        <w:rPr>
          <w:lang w:val="fr-FR"/>
        </w:rPr>
        <w:t>Le premier transport routier a été achevé et déchargé avec succès. Plus important encore, la consultation technique réalisée avant le transport a réduit les risques de manutention et créé une méthode pratique pouvant être réutilisée à mesure que les besoins du client évoluaient.</w:t>
      </w:r>
    </w:p>
    <w:p w14:paraId="6E9FC538" w14:textId="77777777" w:rsidR="001B45A0" w:rsidRPr="001B45A0" w:rsidRDefault="001B45A0" w:rsidP="001B45A0">
      <w:pPr>
        <w:numPr>
          <w:ilvl w:val="0"/>
          <w:numId w:val="2"/>
        </w:numPr>
        <w:rPr>
          <w:lang w:val="fr-FR"/>
        </w:rPr>
      </w:pPr>
      <w:r w:rsidRPr="001B45A0">
        <w:rPr>
          <w:lang w:val="fr-FR"/>
        </w:rPr>
        <w:t xml:space="preserve">Un transport routier achevé du Royaume-Uni vers l’Allemagne, avec déchargement réussi. </w:t>
      </w:r>
    </w:p>
    <w:p w14:paraId="025DF82C" w14:textId="77777777" w:rsidR="001B45A0" w:rsidRPr="001B45A0" w:rsidRDefault="001B45A0" w:rsidP="001B45A0">
      <w:pPr>
        <w:numPr>
          <w:ilvl w:val="0"/>
          <w:numId w:val="2"/>
        </w:numPr>
        <w:rPr>
          <w:lang w:val="fr-FR"/>
        </w:rPr>
      </w:pPr>
      <w:r w:rsidRPr="001B45A0">
        <w:rPr>
          <w:lang w:val="fr-FR"/>
        </w:rPr>
        <w:t xml:space="preserve">Un import aérien confirmé de 1 158 kg de l’Australie vers le Royaume-Uni et un périmètre maritime du Royaume-Uni vers le Canada couvrant une unité principale de 7,7 t et une caisse de support de 400 kg. </w:t>
      </w:r>
    </w:p>
    <w:p w14:paraId="6A066927" w14:textId="77777777" w:rsidR="001B45A0" w:rsidRPr="001B45A0" w:rsidRDefault="001B45A0" w:rsidP="001B45A0">
      <w:pPr>
        <w:numPr>
          <w:ilvl w:val="0"/>
          <w:numId w:val="2"/>
        </w:numPr>
        <w:rPr>
          <w:lang w:val="fr-FR"/>
        </w:rPr>
      </w:pPr>
      <w:r w:rsidRPr="001B45A0">
        <w:rPr>
          <w:lang w:val="fr-FR"/>
        </w:rPr>
        <w:t xml:space="preserve">Un plan opérationnel unique reliant origine, destination et fournisseurs spécialisés dans quatre pays. </w:t>
      </w:r>
    </w:p>
    <w:p w14:paraId="12FCEDB7" w14:textId="77777777" w:rsidR="001B45A0" w:rsidRPr="001B45A0" w:rsidRDefault="001B45A0" w:rsidP="001B45A0">
      <w:pPr>
        <w:numPr>
          <w:ilvl w:val="0"/>
          <w:numId w:val="2"/>
        </w:numPr>
        <w:rPr>
          <w:lang w:val="fr-FR"/>
        </w:rPr>
      </w:pPr>
      <w:r w:rsidRPr="001B45A0">
        <w:rPr>
          <w:lang w:val="fr-FR"/>
        </w:rPr>
        <w:t xml:space="preserve">Une base documentée de dimensions, photographies, jalons et décisions de manutention pour la planification future et la réutilisation régionale. </w:t>
      </w:r>
    </w:p>
    <w:p w14:paraId="18E16E17" w14:textId="77777777" w:rsidR="001B45A0" w:rsidRDefault="001B45A0" w:rsidP="001B45A0">
      <w:pPr>
        <w:rPr>
          <w:b/>
          <w:bCs/>
          <w:lang w:val="fr-FR"/>
        </w:rPr>
      </w:pPr>
    </w:p>
    <w:p w14:paraId="0C384938" w14:textId="22EA7D9B" w:rsidR="001B45A0" w:rsidRPr="001B45A0" w:rsidRDefault="001B45A0" w:rsidP="001B45A0">
      <w:pPr>
        <w:rPr>
          <w:lang w:val="fr-FR"/>
        </w:rPr>
      </w:pPr>
      <w:r w:rsidRPr="001B45A0">
        <w:rPr>
          <w:b/>
          <w:bCs/>
          <w:lang w:val="fr-FR"/>
        </w:rPr>
        <w:t>Citation proposée</w:t>
      </w:r>
    </w:p>
    <w:p w14:paraId="665DA49C" w14:textId="77777777" w:rsidR="001B45A0" w:rsidRPr="001B45A0" w:rsidRDefault="001B45A0" w:rsidP="001B45A0">
      <w:pPr>
        <w:rPr>
          <w:lang w:val="fr-FR"/>
        </w:rPr>
      </w:pPr>
      <w:r w:rsidRPr="001B45A0">
        <w:rPr>
          <w:lang w:val="fr-FR"/>
        </w:rPr>
        <w:t>« Ce projet montre pourquoi la logistique complexe commence avant même que la cargaison ne bouge. En testant la méthode proposée, en réunissant les bons spécialistes et en donnant à chaque équipe pays un seul plan opérationnel, nous avons créé une approche de manutention capable de soutenir le programme plus large du client. »</w:t>
      </w:r>
    </w:p>
    <w:p w14:paraId="3180E883" w14:textId="77777777" w:rsidR="001B45A0" w:rsidRPr="001B45A0" w:rsidRDefault="001B45A0" w:rsidP="001B45A0">
      <w:pPr>
        <w:rPr>
          <w:lang w:val="fr-FR"/>
        </w:rPr>
      </w:pPr>
      <w:r w:rsidRPr="001B45A0">
        <w:rPr>
          <w:b/>
          <w:bCs/>
          <w:lang w:val="fr-FR"/>
        </w:rPr>
        <w:t>— Équipe projet Röhlig</w:t>
      </w:r>
    </w:p>
    <w:p w14:paraId="3964BC63" w14:textId="77777777" w:rsidR="001B45A0" w:rsidRPr="001B45A0" w:rsidRDefault="001B45A0" w:rsidP="001B45A0">
      <w:pPr>
        <w:rPr>
          <w:lang w:val="fr-FR"/>
        </w:rPr>
      </w:pPr>
      <w:r w:rsidRPr="001B45A0">
        <w:rPr>
          <w:i/>
          <w:iCs/>
          <w:lang w:val="fr-FR"/>
        </w:rPr>
        <w:t>Texte proposé nécessitant une validation factuelle et une approbation de l’attribution avant publication.</w:t>
      </w:r>
    </w:p>
    <w:p w14:paraId="6055B9AF" w14:textId="77777777" w:rsidR="001B45A0" w:rsidRDefault="001B45A0" w:rsidP="001B45A0">
      <w:pPr>
        <w:rPr>
          <w:b/>
          <w:bCs/>
          <w:lang w:val="fr-FR"/>
        </w:rPr>
      </w:pPr>
    </w:p>
    <w:p w14:paraId="689BF0CA" w14:textId="1B492679" w:rsidR="001B45A0" w:rsidRPr="001B45A0" w:rsidRDefault="001B45A0" w:rsidP="001B45A0">
      <w:pPr>
        <w:rPr>
          <w:lang w:val="fr-FR"/>
        </w:rPr>
      </w:pPr>
      <w:r w:rsidRPr="001B45A0">
        <w:rPr>
          <w:b/>
          <w:bCs/>
          <w:lang w:val="fr-FR"/>
        </w:rPr>
        <w:t>FAQ</w:t>
      </w:r>
    </w:p>
    <w:p w14:paraId="41715285" w14:textId="77777777" w:rsidR="001B45A0" w:rsidRPr="001B45A0" w:rsidRDefault="001B45A0" w:rsidP="001B45A0">
      <w:pPr>
        <w:rPr>
          <w:lang w:val="fr-FR"/>
        </w:rPr>
      </w:pPr>
      <w:r w:rsidRPr="001B45A0">
        <w:rPr>
          <w:b/>
          <w:bCs/>
          <w:lang w:val="fr-FR"/>
        </w:rPr>
        <w:t>Comment planifier la logistique d’équipements lithium-ion surdimensionnés ?</w:t>
      </w:r>
    </w:p>
    <w:p w14:paraId="337789B1" w14:textId="77777777" w:rsidR="001B45A0" w:rsidRPr="001B45A0" w:rsidRDefault="001B45A0" w:rsidP="001B45A0">
      <w:pPr>
        <w:rPr>
          <w:lang w:val="fr-FR"/>
        </w:rPr>
      </w:pPr>
      <w:r w:rsidRPr="001B45A0">
        <w:rPr>
          <w:lang w:val="fr-FR"/>
        </w:rPr>
        <w:t>La planification commence par des dimensions et poids de cargaison vérifiés, l’itinéraire et l’accès au site, la méthode de levage et d’arrimage, ainsi que les éventuelles exigences relatives aux marchandises dangereuses. Le mode de transport et les équipements doivent ensuite être sélectionnés en fonction de ces éléments, avec l’implication des partenaires d’emballage, de grutage, d’arrimage et de destination avant le début du chargement.</w:t>
      </w:r>
    </w:p>
    <w:p w14:paraId="0BEA08D2" w14:textId="77777777" w:rsidR="001B45A0" w:rsidRPr="001B45A0" w:rsidRDefault="001B45A0" w:rsidP="001B45A0">
      <w:pPr>
        <w:rPr>
          <w:lang w:val="fr-FR"/>
        </w:rPr>
      </w:pPr>
      <w:r w:rsidRPr="001B45A0">
        <w:rPr>
          <w:b/>
          <w:bCs/>
          <w:lang w:val="fr-FR"/>
        </w:rPr>
        <w:t>Pourquoi Röhlig a-t-il recommandé une solution flat-rack avec grue pour ce projet ?</w:t>
      </w:r>
    </w:p>
    <w:p w14:paraId="2C6118A3" w14:textId="77777777" w:rsidR="001B45A0" w:rsidRPr="001B45A0" w:rsidRDefault="001B45A0" w:rsidP="001B45A0">
      <w:pPr>
        <w:rPr>
          <w:lang w:val="fr-FR"/>
        </w:rPr>
      </w:pPr>
      <w:r w:rsidRPr="001B45A0">
        <w:rPr>
          <w:lang w:val="fr-FR"/>
        </w:rPr>
        <w:t xml:space="preserve">L’étude de faisabilité a montré que la solution flat-rack avec grue était mieux adaptée aux équipements surdimensionnés que la méthode proposée avec </w:t>
      </w:r>
      <w:proofErr w:type="spellStart"/>
      <w:r w:rsidRPr="001B45A0">
        <w:rPr>
          <w:lang w:val="fr-FR"/>
        </w:rPr>
        <w:t>reefer</w:t>
      </w:r>
      <w:proofErr w:type="spellEnd"/>
      <w:r w:rsidRPr="001B45A0">
        <w:rPr>
          <w:lang w:val="fr-FR"/>
        </w:rPr>
        <w:t xml:space="preserve"> et slip-</w:t>
      </w:r>
      <w:proofErr w:type="spellStart"/>
      <w:r w:rsidRPr="001B45A0">
        <w:rPr>
          <w:lang w:val="fr-FR"/>
        </w:rPr>
        <w:t>sheet</w:t>
      </w:r>
      <w:proofErr w:type="spellEnd"/>
      <w:r w:rsidRPr="001B45A0">
        <w:rPr>
          <w:lang w:val="fr-FR"/>
        </w:rPr>
        <w:t xml:space="preserve">. Elle a réduit une </w:t>
      </w:r>
      <w:r w:rsidRPr="001B45A0">
        <w:rPr>
          <w:lang w:val="fr-FR"/>
        </w:rPr>
        <w:lastRenderedPageBreak/>
        <w:t>complexité de manutention évitable et permis de construire le plan de levage et de sécurisation autour des dimensions réelles de l’unité. La bonne méthode dépend toujours de la cargaison, de l’itinéraire et des conditions du site.</w:t>
      </w:r>
    </w:p>
    <w:p w14:paraId="23FAEF79" w14:textId="77777777" w:rsidR="001B45A0" w:rsidRPr="001B45A0" w:rsidRDefault="001B45A0" w:rsidP="001B45A0">
      <w:pPr>
        <w:rPr>
          <w:lang w:val="fr-FR"/>
        </w:rPr>
      </w:pPr>
      <w:r w:rsidRPr="001B45A0">
        <w:rPr>
          <w:b/>
          <w:bCs/>
          <w:lang w:val="fr-FR"/>
        </w:rPr>
        <w:t>Comment maintenir la visibilité dans un programme logistique multimodal et multinational ?</w:t>
      </w:r>
    </w:p>
    <w:p w14:paraId="1F7EBC5F" w14:textId="53C16496" w:rsidR="00EC47C9" w:rsidRPr="001B45A0" w:rsidRDefault="001B45A0">
      <w:pPr>
        <w:rPr>
          <w:lang w:val="fr-FR"/>
        </w:rPr>
      </w:pPr>
      <w:r w:rsidRPr="001B45A0">
        <w:rPr>
          <w:lang w:val="fr-FR"/>
        </w:rPr>
        <w:t>Il faut un plan opérationnel unique avec des responsabilités claires, des jalons communs et des transferts structurés entre l’origine, la destination et les fournisseurs spécialisés. Pour ce programme, les données historiques de la voie commerciale, l’</w:t>
      </w:r>
      <w:proofErr w:type="spellStart"/>
      <w:r w:rsidRPr="001B45A0">
        <w:rPr>
          <w:lang w:val="fr-FR"/>
        </w:rPr>
        <w:t>onboarding</w:t>
      </w:r>
      <w:proofErr w:type="spellEnd"/>
      <w:r w:rsidRPr="001B45A0">
        <w:rPr>
          <w:lang w:val="fr-FR"/>
        </w:rPr>
        <w:t xml:space="preserve"> coordonné, la supervision sur site et deux trackers ont soutenu la visibilité sur les périmètres routier, aérien et maritime.</w:t>
      </w:r>
    </w:p>
    <w:sectPr w:rsidR="00EC47C9" w:rsidRPr="001B45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558C2"/>
    <w:multiLevelType w:val="multilevel"/>
    <w:tmpl w:val="C346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2C2F67"/>
    <w:multiLevelType w:val="multilevel"/>
    <w:tmpl w:val="8946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190318">
    <w:abstractNumId w:val="1"/>
  </w:num>
  <w:num w:numId="2" w16cid:durableId="957687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5A0"/>
    <w:rsid w:val="0011157C"/>
    <w:rsid w:val="001B45A0"/>
    <w:rsid w:val="007D0679"/>
    <w:rsid w:val="00E75266"/>
    <w:rsid w:val="00EC47C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E886"/>
  <w15:chartTrackingRefBased/>
  <w15:docId w15:val="{25F111EE-C1FE-4411-921C-F0833D76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B45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45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45A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45A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B45A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B45A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45A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45A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45A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5A0"/>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1B45A0"/>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1B45A0"/>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1B45A0"/>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1B45A0"/>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1B45A0"/>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B45A0"/>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1B45A0"/>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B45A0"/>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1B4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5A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B45A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5A0"/>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B45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45A0"/>
    <w:rPr>
      <w:i/>
      <w:iCs/>
      <w:color w:val="404040" w:themeColor="text1" w:themeTint="BF"/>
      <w:lang w:val="en-GB"/>
    </w:rPr>
  </w:style>
  <w:style w:type="paragraph" w:styleId="ListParagraph">
    <w:name w:val="List Paragraph"/>
    <w:basedOn w:val="Normal"/>
    <w:uiPriority w:val="34"/>
    <w:qFormat/>
    <w:rsid w:val="001B45A0"/>
    <w:pPr>
      <w:ind w:left="720"/>
      <w:contextualSpacing/>
    </w:pPr>
  </w:style>
  <w:style w:type="character" w:styleId="IntenseEmphasis">
    <w:name w:val="Intense Emphasis"/>
    <w:basedOn w:val="DefaultParagraphFont"/>
    <w:uiPriority w:val="21"/>
    <w:qFormat/>
    <w:rsid w:val="001B45A0"/>
    <w:rPr>
      <w:i/>
      <w:iCs/>
      <w:color w:val="2F5496" w:themeColor="accent1" w:themeShade="BF"/>
    </w:rPr>
  </w:style>
  <w:style w:type="paragraph" w:styleId="IntenseQuote">
    <w:name w:val="Intense Quote"/>
    <w:basedOn w:val="Normal"/>
    <w:next w:val="Normal"/>
    <w:link w:val="IntenseQuoteChar"/>
    <w:uiPriority w:val="30"/>
    <w:qFormat/>
    <w:rsid w:val="001B45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45A0"/>
    <w:rPr>
      <w:i/>
      <w:iCs/>
      <w:color w:val="2F5496" w:themeColor="accent1" w:themeShade="BF"/>
      <w:lang w:val="en-GB"/>
    </w:rPr>
  </w:style>
  <w:style w:type="character" w:styleId="IntenseReference">
    <w:name w:val="Intense Reference"/>
    <w:basedOn w:val="DefaultParagraphFont"/>
    <w:uiPriority w:val="32"/>
    <w:qFormat/>
    <w:rsid w:val="001B45A0"/>
    <w:rPr>
      <w:b/>
      <w:bCs/>
      <w:smallCaps/>
      <w:color w:val="2F5496" w:themeColor="accent1" w:themeShade="BF"/>
      <w:spacing w:val="5"/>
    </w:rPr>
  </w:style>
  <w:style w:type="character" w:styleId="Hyperlink">
    <w:name w:val="Hyperlink"/>
    <w:basedOn w:val="DefaultParagraphFont"/>
    <w:uiPriority w:val="99"/>
    <w:unhideWhenUsed/>
    <w:rsid w:val="001B45A0"/>
    <w:rPr>
      <w:color w:val="0563C1" w:themeColor="hyperlink"/>
      <w:u w:val="single"/>
    </w:rPr>
  </w:style>
  <w:style w:type="character" w:styleId="UnresolvedMention">
    <w:name w:val="Unresolved Mention"/>
    <w:basedOn w:val="DefaultParagraphFont"/>
    <w:uiPriority w:val="99"/>
    <w:semiHidden/>
    <w:unhideWhenUsed/>
    <w:rsid w:val="001B4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487300">
      <w:bodyDiv w:val="1"/>
      <w:marLeft w:val="0"/>
      <w:marRight w:val="0"/>
      <w:marTop w:val="0"/>
      <w:marBottom w:val="0"/>
      <w:divBdr>
        <w:top w:val="none" w:sz="0" w:space="0" w:color="auto"/>
        <w:left w:val="none" w:sz="0" w:space="0" w:color="auto"/>
        <w:bottom w:val="none" w:sz="0" w:space="0" w:color="auto"/>
        <w:right w:val="none" w:sz="0" w:space="0" w:color="auto"/>
      </w:divBdr>
      <w:divsChild>
        <w:div w:id="1034648200">
          <w:marLeft w:val="0"/>
          <w:marRight w:val="0"/>
          <w:marTop w:val="0"/>
          <w:marBottom w:val="0"/>
          <w:divBdr>
            <w:top w:val="none" w:sz="0" w:space="0" w:color="auto"/>
            <w:left w:val="none" w:sz="0" w:space="0" w:color="auto"/>
            <w:bottom w:val="none" w:sz="0" w:space="0" w:color="auto"/>
            <w:right w:val="none" w:sz="0" w:space="0" w:color="auto"/>
          </w:divBdr>
          <w:divsChild>
            <w:div w:id="134574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18326">
      <w:bodyDiv w:val="1"/>
      <w:marLeft w:val="0"/>
      <w:marRight w:val="0"/>
      <w:marTop w:val="0"/>
      <w:marBottom w:val="0"/>
      <w:divBdr>
        <w:top w:val="none" w:sz="0" w:space="0" w:color="auto"/>
        <w:left w:val="none" w:sz="0" w:space="0" w:color="auto"/>
        <w:bottom w:val="none" w:sz="0" w:space="0" w:color="auto"/>
        <w:right w:val="none" w:sz="0" w:space="0" w:color="auto"/>
      </w:divBdr>
      <w:divsChild>
        <w:div w:id="100151599">
          <w:marLeft w:val="0"/>
          <w:marRight w:val="0"/>
          <w:marTop w:val="0"/>
          <w:marBottom w:val="0"/>
          <w:divBdr>
            <w:top w:val="none" w:sz="0" w:space="0" w:color="auto"/>
            <w:left w:val="none" w:sz="0" w:space="0" w:color="auto"/>
            <w:bottom w:val="none" w:sz="0" w:space="0" w:color="auto"/>
            <w:right w:val="none" w:sz="0" w:space="0" w:color="auto"/>
          </w:divBdr>
          <w:divsChild>
            <w:div w:id="4717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hlig.com/freight-solutions/sea-freight/"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rohlig.com/freight-solutions/air-freight/"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industry-solutions/renewable-energy-logistics/" TargetMode="External"/><Relationship Id="rId11" Type="http://schemas.openxmlformats.org/officeDocument/2006/relationships/customXml" Target="../customXml/item1.xml"/><Relationship Id="rId5" Type="http://schemas.openxmlformats.org/officeDocument/2006/relationships/hyperlink" Target="https://www.rohlig.com/freight-solutions/warehousing-value-added-services/project-logistic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EC218F12-8A81-44E4-A54A-7386987D6077}"/>
</file>

<file path=customXml/itemProps2.xml><?xml version="1.0" encoding="utf-8"?>
<ds:datastoreItem xmlns:ds="http://schemas.openxmlformats.org/officeDocument/2006/customXml" ds:itemID="{ED00DA82-1FAD-4572-8C4F-89990ADB0A86}"/>
</file>

<file path=customXml/itemProps3.xml><?xml version="1.0" encoding="utf-8"?>
<ds:datastoreItem xmlns:ds="http://schemas.openxmlformats.org/officeDocument/2006/customXml" ds:itemID="{F8E4C36A-CA9C-4620-BDA8-16AC00846715}"/>
</file>

<file path=docProps/app.xml><?xml version="1.0" encoding="utf-8"?>
<Properties xmlns="http://schemas.openxmlformats.org/officeDocument/2006/extended-properties" xmlns:vt="http://schemas.openxmlformats.org/officeDocument/2006/docPropsVTypes">
  <Template>Normal</Template>
  <TotalTime>0</TotalTime>
  <Pages>3</Pages>
  <Words>1258</Words>
  <Characters>7173</Characters>
  <Application>Microsoft Office Word</Application>
  <DocSecurity>0</DocSecurity>
  <Lines>59</Lines>
  <Paragraphs>16</Paragraphs>
  <ScaleCrop>false</ScaleCrop>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2026-08-30T21:42:00Z</dcterms:created>
  <dcterms:modified xsi:type="dcterms:W3CDTF">2026-08-30T21:43:00Z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